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6"/>
        <w:tabs>
          <w:tab w:val="left" w:pos="2520"/>
        </w:tabs>
        <w:spacing w:line="500" w:lineRule="exact"/>
        <w:rPr>
          <w:rFonts w:hAnsi="宋体" w:cs="宋体"/>
          <w:sz w:val="28"/>
          <w:szCs w:val="28"/>
        </w:rPr>
      </w:pPr>
    </w:p>
    <w:p>
      <w:pPr>
        <w:pStyle w:val="6"/>
        <w:tabs>
          <w:tab w:val="left" w:pos="2520"/>
        </w:tabs>
        <w:spacing w:line="500" w:lineRule="exact"/>
        <w:jc w:val="center"/>
        <w:rPr>
          <w:rFonts w:hAnsi="宋体" w:cs="宋体"/>
          <w:spacing w:val="14"/>
          <w:sz w:val="48"/>
          <w:szCs w:val="48"/>
        </w:rPr>
      </w:pPr>
    </w:p>
    <w:p>
      <w:pPr>
        <w:pStyle w:val="6"/>
        <w:tabs>
          <w:tab w:val="left" w:pos="2520"/>
        </w:tabs>
        <w:spacing w:line="900" w:lineRule="exact"/>
        <w:jc w:val="center"/>
        <w:rPr>
          <w:rFonts w:hAnsi="宋体" w:cs="宋体"/>
          <w:b/>
          <w:sz w:val="84"/>
          <w:szCs w:val="84"/>
        </w:rPr>
      </w:pPr>
      <w:r>
        <w:rPr>
          <w:rFonts w:hint="eastAsia" w:hAnsi="宋体" w:cs="宋体"/>
          <w:b/>
          <w:bCs/>
          <w:color w:val="000000"/>
          <w:kern w:val="0"/>
          <w:sz w:val="84"/>
          <w:szCs w:val="84"/>
        </w:rPr>
        <w:t>竞争性谈判文件</w:t>
      </w:r>
    </w:p>
    <w:p>
      <w:pPr>
        <w:pStyle w:val="6"/>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2521" w:leftChars="340" w:hanging="1807" w:hangingChars="500"/>
        <w:rPr>
          <w:rFonts w:hint="default" w:ascii="宋体" w:hAnsi="宋体" w:eastAsia="宋体" w:cs="宋体"/>
          <w:b/>
          <w:sz w:val="36"/>
          <w:szCs w:val="36"/>
          <w:lang w:val="en-US" w:eastAsia="zh-CN"/>
        </w:rPr>
      </w:pPr>
      <w:r>
        <w:rPr>
          <w:rFonts w:hint="eastAsia" w:ascii="宋体" w:hAnsi="宋体" w:cs="宋体"/>
          <w:b/>
          <w:sz w:val="36"/>
          <w:szCs w:val="36"/>
        </w:rPr>
        <w:t>项目名称：</w:t>
      </w:r>
      <w:r>
        <w:rPr>
          <w:rFonts w:hint="eastAsia" w:ascii="宋体" w:hAnsi="宋体" w:cs="宋体"/>
          <w:b/>
          <w:sz w:val="36"/>
          <w:szCs w:val="36"/>
          <w:lang w:val="en-US" w:eastAsia="zh-CN"/>
        </w:rPr>
        <w:t>黄石市中心医院全国抗肿瘤药物临床应用监测上报采购项目</w:t>
      </w:r>
    </w:p>
    <w:p>
      <w:pPr>
        <w:spacing w:line="480" w:lineRule="auto"/>
        <w:ind w:firstLine="1446" w:firstLineChars="4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807" w:firstLineChars="500"/>
        <w:rPr>
          <w:rFonts w:ascii="宋体" w:hAnsi="宋体" w:cs="宋体"/>
          <w:b/>
          <w:sz w:val="36"/>
          <w:szCs w:val="36"/>
        </w:rPr>
      </w:pPr>
      <w:r>
        <w:rPr>
          <w:rFonts w:hint="eastAsia" w:ascii="宋体" w:hAnsi="宋体" w:cs="宋体"/>
          <w:b/>
          <w:sz w:val="36"/>
          <w:szCs w:val="36"/>
        </w:rPr>
        <w:t>采购单位：黄石市中心医院</w:t>
      </w:r>
    </w:p>
    <w:p>
      <w:pPr>
        <w:pStyle w:val="6"/>
        <w:tabs>
          <w:tab w:val="left" w:pos="2520"/>
        </w:tabs>
        <w:spacing w:line="500" w:lineRule="exact"/>
        <w:rPr>
          <w:rFonts w:hAnsi="宋体" w:cs="宋体"/>
          <w:sz w:val="72"/>
          <w:szCs w:val="72"/>
        </w:rPr>
      </w:pPr>
    </w:p>
    <w:p>
      <w:pPr>
        <w:pStyle w:val="6"/>
        <w:tabs>
          <w:tab w:val="left" w:pos="2520"/>
        </w:tabs>
        <w:spacing w:line="500" w:lineRule="exact"/>
        <w:rPr>
          <w:rFonts w:hAnsi="宋体" w:cs="宋体"/>
          <w:sz w:val="72"/>
          <w:szCs w:val="72"/>
        </w:rPr>
      </w:pPr>
    </w:p>
    <w:p>
      <w:pPr>
        <w:pStyle w:val="6"/>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六</w:t>
      </w:r>
      <w:r>
        <w:rPr>
          <w:rFonts w:hint="eastAsia" w:ascii="宋体" w:hAnsi="宋体"/>
          <w:b/>
          <w:bCs/>
          <w:sz w:val="36"/>
          <w:szCs w:val="36"/>
        </w:rPr>
        <w:t>月</w:t>
      </w:r>
    </w:p>
    <w:p>
      <w:pPr>
        <w:pStyle w:val="11"/>
        <w:rPr>
          <w:rFonts w:hint="eastAsia" w:ascii="宋体" w:hAnsi="宋体" w:cs="宋体"/>
        </w:rPr>
      </w:pPr>
      <w:bookmarkStart w:id="0" w:name="_Toc528493563"/>
      <w:bookmarkStart w:id="1" w:name="_Toc528493163"/>
      <w:bookmarkStart w:id="2" w:name="_Toc528493082"/>
      <w:bookmarkStart w:id="3" w:name="_Toc528494262"/>
      <w:bookmarkStart w:id="4" w:name="_Toc528493130"/>
    </w:p>
    <w:p>
      <w:pPr>
        <w:pStyle w:val="11"/>
        <w:rPr>
          <w:rFonts w:ascii="宋体" w:hAnsi="宋体" w:cs="宋体"/>
        </w:rPr>
      </w:pPr>
      <w:r>
        <w:rPr>
          <w:rFonts w:hint="eastAsia" w:ascii="宋体" w:hAnsi="宋体" w:cs="宋体"/>
        </w:rPr>
        <w:t>第一章  谈判邀请函</w:t>
      </w:r>
      <w:bookmarkEnd w:id="0"/>
      <w:bookmarkEnd w:id="1"/>
      <w:bookmarkEnd w:id="2"/>
      <w:bookmarkEnd w:id="3"/>
      <w:bookmarkEnd w:id="4"/>
      <w:bookmarkStart w:id="5" w:name="_Toc35393791"/>
      <w:bookmarkStart w:id="6" w:name="_Toc28359080"/>
      <w:bookmarkStart w:id="7" w:name="_Toc28359003"/>
      <w:bookmarkStart w:id="8" w:name="_Toc35393622"/>
    </w:p>
    <w:p>
      <w:pPr>
        <w:pStyle w:val="11"/>
        <w:ind w:firstLine="720" w:firstLineChars="300"/>
        <w:jc w:val="left"/>
        <w:rPr>
          <w:rFonts w:ascii="宋体" w:cs="宋体"/>
          <w:b w:val="0"/>
          <w:bCs w:val="0"/>
          <w:sz w:val="24"/>
          <w:lang w:val="zh-CN"/>
        </w:rPr>
      </w:pPr>
      <w:r>
        <w:rPr>
          <w:rFonts w:hint="eastAsia" w:ascii="宋体" w:hAnsi="宋体" w:cs="宋体"/>
          <w:b w:val="0"/>
          <w:bCs w:val="0"/>
          <w:sz w:val="24"/>
          <w:szCs w:val="20"/>
          <w:lang w:val="zh-CN"/>
        </w:rPr>
        <w:t>根据黄石市中心医院的需求，</w:t>
      </w:r>
      <w:r>
        <w:rPr>
          <w:rFonts w:hint="eastAsia" w:ascii="宋体" w:hAnsi="宋体" w:cs="宋体"/>
          <w:b w:val="0"/>
          <w:bCs w:val="0"/>
          <w:sz w:val="24"/>
          <w:lang w:val="en-US" w:eastAsia="zh-CN"/>
        </w:rPr>
        <w:t>黄石市中心医院全国抗肿瘤药物临床应用监测上报采购项目</w:t>
      </w:r>
      <w:r>
        <w:rPr>
          <w:rFonts w:hint="eastAsia" w:ascii="宋体" w:hAnsi="宋体" w:cs="宋体"/>
          <w:b w:val="0"/>
          <w:bCs w:val="0"/>
          <w:sz w:val="24"/>
          <w:lang w:val="zh-CN"/>
        </w:rPr>
        <w:t>以竞争性</w:t>
      </w:r>
      <w:r>
        <w:rPr>
          <w:rFonts w:hint="eastAsia" w:ascii="宋体" w:hAnsi="宋体" w:cs="宋体"/>
          <w:b w:val="0"/>
          <w:bCs w:val="0"/>
          <w:sz w:val="24"/>
        </w:rPr>
        <w:t>谈判</w:t>
      </w:r>
      <w:r>
        <w:rPr>
          <w:rFonts w:hint="eastAsia" w:ascii="宋体" w:hAnsi="宋体" w:cs="宋体"/>
          <w:b w:val="0"/>
          <w:bCs w:val="0"/>
          <w:sz w:val="24"/>
          <w:lang w:val="zh-CN"/>
        </w:rPr>
        <w:t>方式进行采购</w:t>
      </w:r>
      <w:r>
        <w:rPr>
          <w:rFonts w:hint="eastAsia" w:ascii="宋体" w:hAnsi="宋体" w:cs="宋体"/>
          <w:b w:val="0"/>
          <w:bCs w:val="0"/>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28359081"/>
      <w:bookmarkStart w:id="10" w:name="_Toc35393792"/>
      <w:bookmarkStart w:id="11" w:name="_Toc28359004"/>
      <w:bookmarkStart w:id="12" w:name="_Toc35393623"/>
      <w:r>
        <w:rPr>
          <w:rFonts w:hint="eastAsia" w:ascii="宋体" w:hAnsi="宋体" w:cs="宋体"/>
          <w:b/>
          <w:bCs/>
          <w:sz w:val="24"/>
        </w:rPr>
        <w:t>一、项目内容：</w:t>
      </w:r>
    </w:p>
    <w:p>
      <w:pPr>
        <w:spacing w:line="420" w:lineRule="exact"/>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项目名称：</w:t>
      </w:r>
      <w:r>
        <w:rPr>
          <w:rFonts w:hint="eastAsia" w:ascii="宋体" w:hAnsi="宋体" w:cs="宋体"/>
          <w:sz w:val="24"/>
          <w:lang w:val="en-US" w:eastAsia="zh-CN"/>
        </w:rPr>
        <w:t>黄石市中心医院全国抗肿瘤药物临床应用监测上报采购项目</w:t>
      </w:r>
    </w:p>
    <w:p>
      <w:pPr>
        <w:spacing w:line="420" w:lineRule="exact"/>
        <w:ind w:firstLine="480" w:firstLineChars="200"/>
        <w:rPr>
          <w:rFonts w:ascii="宋体" w:hAnsi="宋体" w:cs="宋体"/>
          <w:sz w:val="24"/>
        </w:rPr>
      </w:pPr>
      <w:r>
        <w:rPr>
          <w:rFonts w:hint="eastAsia" w:ascii="宋体" w:hAnsi="宋体" w:cs="宋体"/>
          <w:sz w:val="24"/>
        </w:rPr>
        <w:t>2.采购方式：竞争性谈判</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7.5</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4"/>
          <w:highlight w:val="yellow"/>
          <w:lang w:val="en-US" w:eastAsia="zh-CN"/>
        </w:rPr>
        <w:t>质保期</w:t>
      </w:r>
      <w:r>
        <w:rPr>
          <w:rFonts w:hint="eastAsia" w:ascii="宋体" w:hAnsi="宋体" w:cs="宋体"/>
          <w:sz w:val="24"/>
          <w:highlight w:val="yellow"/>
        </w:rPr>
        <w:t>：</w:t>
      </w:r>
      <w:r>
        <w:rPr>
          <w:rFonts w:hint="eastAsia" w:ascii="宋体" w:hAnsi="宋体" w:cs="仿宋_GB2312"/>
          <w:sz w:val="24"/>
          <w:highlight w:val="yellow"/>
          <w:lang w:val="en-US" w:eastAsia="zh-CN"/>
        </w:rPr>
        <w:t>1年</w:t>
      </w:r>
      <w:r>
        <w:rPr>
          <w:rFonts w:hint="eastAsia" w:ascii="宋体" w:hAnsi="宋体" w:cs="仿宋_GB2312"/>
          <w:snapToGrid w:val="0"/>
          <w:sz w:val="24"/>
          <w:highlight w:val="yellow"/>
          <w:lang w:val="zh-CN"/>
        </w:rPr>
        <w:t>。</w:t>
      </w:r>
    </w:p>
    <w:p>
      <w:pPr>
        <w:spacing w:line="420" w:lineRule="exact"/>
        <w:ind w:firstLine="480" w:firstLineChars="200"/>
        <w:rPr>
          <w:rFonts w:ascii="宋体" w:hAnsi="宋体" w:cs="宋体"/>
          <w:sz w:val="24"/>
          <w:szCs w:val="24"/>
        </w:rPr>
      </w:pPr>
      <w:r>
        <w:rPr>
          <w:rFonts w:hint="eastAsia" w:ascii="宋体" w:hAnsi="宋体" w:cs="宋体"/>
          <w:sz w:val="24"/>
        </w:rPr>
        <w:t>5.</w:t>
      </w:r>
      <w:r>
        <w:rPr>
          <w:rFonts w:hint="eastAsia" w:ascii="宋体" w:hAnsi="宋体" w:cs="仿宋_GB2312"/>
          <w:sz w:val="24"/>
        </w:rPr>
        <w:t>采购内容:</w:t>
      </w:r>
      <w:r>
        <w:rPr>
          <w:rFonts w:hint="eastAsia" w:ascii="宋体" w:hAnsi="宋体" w:cs="宋体"/>
          <w:sz w:val="24"/>
          <w:lang w:val="en-US" w:eastAsia="zh-CN"/>
        </w:rPr>
        <w:t>黄石市中心医院全国抗肿瘤药物临床应用监测上报采购项目</w:t>
      </w:r>
    </w:p>
    <w:p>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质量要求：符合国家管理、相关部门规定</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lang w:val="en-US" w:eastAsia="zh-CN"/>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5</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84"/>
      <w:bookmarkStart w:id="14" w:name="_Toc28359007"/>
      <w:bookmarkStart w:id="15" w:name="_Toc35393794"/>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4</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6</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11</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24年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18</w:t>
      </w:r>
      <w:bookmarkStart w:id="143" w:name="_GoBack"/>
      <w:bookmarkEnd w:id="143"/>
      <w:r>
        <w:rPr>
          <w:rFonts w:hint="eastAsia" w:ascii="宋体" w:hAnsi="宋体" w:cs="宋体"/>
          <w:sz w:val="24"/>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本项目竞争性谈判文件于黄石市中心医院官网上发布。</w:t>
      </w:r>
      <w:bookmarkEnd w:id="13"/>
      <w:bookmarkEnd w:id="14"/>
      <w:bookmarkEnd w:id="15"/>
      <w:bookmarkEnd w:id="16"/>
      <w:bookmarkStart w:id="17" w:name="_Toc528493131"/>
      <w:bookmarkStart w:id="18" w:name="_Toc528493576"/>
      <w:bookmarkStart w:id="19" w:name="_Toc528493164"/>
      <w:bookmarkStart w:id="20" w:name="_Toc528493083"/>
      <w:bookmarkStart w:id="21" w:name="_Toc528494275"/>
    </w:p>
    <w:p>
      <w:pPr>
        <w:snapToGrid w:val="0"/>
        <w:spacing w:line="420" w:lineRule="exact"/>
        <w:ind w:firstLine="504" w:firstLineChars="210"/>
        <w:rPr>
          <w:rFonts w:ascii="宋体" w:hAnsi="宋体" w:cs="宋体"/>
          <w:sz w:val="24"/>
        </w:rPr>
      </w:pPr>
      <w:r>
        <w:rPr>
          <w:rFonts w:hint="eastAsia" w:ascii="宋体" w:hAnsi="宋体" w:cs="宋体"/>
          <w:sz w:val="24"/>
        </w:rPr>
        <w:t>4、开标时间：报名成功后另行通知</w:t>
      </w:r>
    </w:p>
    <w:p>
      <w:pPr>
        <w:pStyle w:val="11"/>
        <w:jc w:val="both"/>
        <w:rPr>
          <w:rFonts w:ascii="宋体" w:hAnsi="宋体" w:cs="宋体"/>
        </w:rPr>
      </w:pPr>
    </w:p>
    <w:p>
      <w:pPr>
        <w:pStyle w:val="11"/>
        <w:rPr>
          <w:rFonts w:ascii="宋体" w:hAnsi="宋体" w:cs="宋体"/>
        </w:rPr>
      </w:pPr>
      <w:r>
        <w:rPr>
          <w:rFonts w:hint="eastAsia" w:ascii="宋体" w:hAnsi="宋体" w:cs="宋体"/>
        </w:rPr>
        <w:t xml:space="preserve">第二章  </w:t>
      </w:r>
      <w:r>
        <w:rPr>
          <w:rFonts w:hint="eastAsia" w:ascii="宋体" w:hAnsi="宋体"/>
        </w:rPr>
        <w:t>竞争性谈判</w:t>
      </w:r>
      <w:r>
        <w:rPr>
          <w:rFonts w:hint="eastAsia" w:ascii="宋体" w:hAnsi="宋体" w:cs="宋体"/>
        </w:rPr>
        <w:t>须知</w:t>
      </w:r>
      <w:bookmarkEnd w:id="17"/>
      <w:bookmarkEnd w:id="18"/>
      <w:bookmarkEnd w:id="19"/>
      <w:bookmarkEnd w:id="20"/>
      <w:bookmarkEnd w:id="21"/>
    </w:p>
    <w:p>
      <w:pPr>
        <w:widowControl/>
        <w:spacing w:line="360" w:lineRule="auto"/>
        <w:ind w:firstLine="482" w:firstLineChars="200"/>
        <w:jc w:val="left"/>
        <w:outlineLvl w:val="2"/>
        <w:rPr>
          <w:rFonts w:ascii="宋体" w:hAnsi="宋体" w:cs="宋体"/>
          <w:b/>
          <w:kern w:val="0"/>
          <w:sz w:val="24"/>
        </w:rPr>
      </w:pPr>
      <w:bookmarkStart w:id="22" w:name="_Toc22342"/>
      <w:bookmarkStart w:id="23" w:name="_Toc46744893"/>
      <w:bookmarkStart w:id="24" w:name="_Toc46764847"/>
      <w:bookmarkStart w:id="25" w:name="_Toc44692118"/>
      <w:bookmarkStart w:id="26" w:name="_Toc44855424"/>
      <w:bookmarkStart w:id="27" w:name="_Toc528493134"/>
      <w:bookmarkStart w:id="28" w:name="_Toc528493086"/>
      <w:bookmarkStart w:id="29" w:name="_Toc528493167"/>
      <w:bookmarkStart w:id="30" w:name="_Toc528494285"/>
      <w:bookmarkStart w:id="31" w:name="_Toc528493579"/>
      <w:r>
        <w:rPr>
          <w:rFonts w:hint="eastAsia" w:ascii="宋体" w:hAnsi="宋体" w:cs="宋体"/>
          <w:b/>
          <w:kern w:val="0"/>
          <w:sz w:val="24"/>
        </w:rPr>
        <w:t>（一）总则</w:t>
      </w:r>
      <w:bookmarkEnd w:id="22"/>
      <w:bookmarkEnd w:id="23"/>
      <w:bookmarkEnd w:id="24"/>
      <w:bookmarkEnd w:id="25"/>
      <w:bookmarkEnd w:id="26"/>
    </w:p>
    <w:p>
      <w:pPr>
        <w:pStyle w:val="6"/>
        <w:spacing w:line="360" w:lineRule="auto"/>
        <w:ind w:firstLine="480" w:firstLineChars="200"/>
        <w:contextualSpacing/>
        <w:rPr>
          <w:rFonts w:hAnsi="宋体" w:cs="宋体"/>
          <w:sz w:val="24"/>
          <w:szCs w:val="24"/>
        </w:rPr>
      </w:pPr>
      <w:r>
        <w:rPr>
          <w:rFonts w:hint="eastAsia" w:hAnsi="宋体" w:cs="宋体"/>
          <w:sz w:val="24"/>
          <w:szCs w:val="24"/>
        </w:rPr>
        <w:t>1.适用范围</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本竞争性谈判文件适用于本谈判邀请函中所述的服务类采购项目。</w:t>
      </w:r>
    </w:p>
    <w:p>
      <w:pPr>
        <w:pStyle w:val="6"/>
        <w:spacing w:line="360" w:lineRule="auto"/>
        <w:ind w:firstLine="480" w:firstLineChars="200"/>
        <w:contextualSpacing/>
        <w:rPr>
          <w:rFonts w:hAnsi="宋体" w:cs="宋体"/>
          <w:sz w:val="24"/>
          <w:szCs w:val="24"/>
        </w:rPr>
      </w:pPr>
      <w:r>
        <w:rPr>
          <w:rFonts w:hint="eastAsia" w:hAnsi="宋体" w:cs="宋体"/>
          <w:sz w:val="24"/>
          <w:szCs w:val="24"/>
        </w:rPr>
        <w:t>2.定义</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（1）“采购人”是指：详见供应商须知前附表。</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（2）“谈判供应商”是指：符合本谈判文件规定并参加本项目谈判的供应商。</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（3）“成交供应商”是指：经谈判小组评审、推荐，采购人依法确定并授予合同的谈判供应商。</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（4）“</w:t>
      </w:r>
      <w:r>
        <w:rPr>
          <w:rFonts w:hint="eastAsia" w:ascii="宋体" w:hAnsi="宋体" w:cs="宋体"/>
          <w:sz w:val="24"/>
          <w:szCs w:val="24"/>
        </w:rPr>
        <w:t>采购代理机构</w:t>
      </w:r>
      <w:r>
        <w:rPr>
          <w:rFonts w:hint="eastAsia" w:ascii="宋体" w:hAnsi="宋体" w:cs="宋体"/>
          <w:color w:val="000000"/>
          <w:sz w:val="24"/>
          <w:szCs w:val="24"/>
        </w:rPr>
        <w:t>”是指：详见供应商须知前附表。</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（5）“谈判响应文件”是指：谈判供应商根据本文件要求，编制包含报价、技术和服务等所有内容的文件。</w:t>
      </w:r>
    </w:p>
    <w:p>
      <w:pPr>
        <w:pStyle w:val="6"/>
        <w:spacing w:line="360" w:lineRule="auto"/>
        <w:ind w:firstLine="480" w:firstLineChars="200"/>
        <w:contextualSpacing/>
        <w:rPr>
          <w:rFonts w:hAnsi="宋体" w:cs="宋体"/>
          <w:sz w:val="24"/>
          <w:szCs w:val="24"/>
        </w:rPr>
      </w:pPr>
      <w:r>
        <w:rPr>
          <w:rFonts w:hint="eastAsia" w:hAnsi="宋体" w:cs="宋体"/>
          <w:sz w:val="24"/>
          <w:szCs w:val="24"/>
        </w:rPr>
        <w:t>3.</w:t>
      </w:r>
      <w:r>
        <w:rPr>
          <w:rFonts w:hint="eastAsia" w:hAnsi="宋体" w:cs="宋体"/>
          <w:color w:val="000000"/>
          <w:sz w:val="24"/>
          <w:szCs w:val="24"/>
        </w:rPr>
        <w:t>货物和服务</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（1）“货物”是指：供应商制造或组织符合谈判文件要求的货物，包括原材料、燃料、设备、产品等。谈判文件中没有提及谈判货物来源地的，根据《</w:t>
      </w:r>
      <w:r>
        <w:rPr>
          <w:rFonts w:hint="eastAsia" w:ascii="宋体" w:hAnsi="宋体" w:cs="宋体"/>
          <w:color w:val="000000"/>
          <w:kern w:val="0"/>
          <w:sz w:val="24"/>
          <w:szCs w:val="24"/>
        </w:rPr>
        <w:t>中华人民共和国政府采购法</w:t>
      </w:r>
      <w:r>
        <w:rPr>
          <w:rFonts w:hint="eastAsia" w:ascii="宋体" w:hAnsi="宋体" w:cs="宋体"/>
          <w:color w:val="000000"/>
          <w:sz w:val="24"/>
          <w:szCs w:val="24"/>
        </w:rPr>
        <w:t>》的相关规定均应是本国货物，另有规定的除外。谈判的货物必须是其合法生产的符合国家有关标准要求的货物，并能够按照合同规定的品牌、产地、质量、价格和有效期等履约。</w:t>
      </w:r>
    </w:p>
    <w:p>
      <w:pPr>
        <w:pStyle w:val="6"/>
        <w:spacing w:line="360" w:lineRule="auto"/>
        <w:ind w:firstLine="480" w:firstLineChars="200"/>
        <w:contextualSpacing/>
        <w:rPr>
          <w:rFonts w:hAnsi="宋体" w:cs="宋体"/>
          <w:color w:val="000000"/>
          <w:sz w:val="24"/>
          <w:szCs w:val="24"/>
        </w:rPr>
      </w:pPr>
      <w:r>
        <w:rPr>
          <w:rFonts w:hint="eastAsia" w:hAnsi="宋体" w:cs="宋体"/>
          <w:color w:val="000000"/>
          <w:sz w:val="24"/>
          <w:szCs w:val="24"/>
        </w:rPr>
        <w:t>（2）“服务”是指：除货物和工程以外的其他政府采购对象。包括：</w:t>
      </w:r>
      <w:r>
        <w:rPr>
          <w:rFonts w:hint="eastAsia" w:hAnsi="宋体" w:cs="宋体"/>
          <w:sz w:val="24"/>
          <w:szCs w:val="24"/>
        </w:rPr>
        <w:t>政府自身需要的服务和政府向社会公众提供的公共服务</w:t>
      </w:r>
      <w:r>
        <w:rPr>
          <w:rFonts w:hint="eastAsia" w:hAnsi="宋体" w:cs="宋体"/>
          <w:color w:val="000000"/>
          <w:sz w:val="24"/>
          <w:szCs w:val="24"/>
        </w:rPr>
        <w:t>。</w:t>
      </w:r>
    </w:p>
    <w:p>
      <w:pPr>
        <w:pStyle w:val="6"/>
        <w:spacing w:line="360" w:lineRule="auto"/>
        <w:ind w:firstLine="480" w:firstLineChars="200"/>
        <w:contextualSpacing/>
        <w:rPr>
          <w:rFonts w:hAnsi="宋体" w:cs="宋体"/>
          <w:sz w:val="24"/>
          <w:szCs w:val="24"/>
        </w:rPr>
      </w:pPr>
      <w:r>
        <w:rPr>
          <w:rFonts w:hint="eastAsia" w:hAnsi="宋体" w:cs="宋体"/>
          <w:sz w:val="24"/>
          <w:szCs w:val="24"/>
        </w:rPr>
        <w:t>4.谈判费用</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（1）谈判供应商应自行承担所有与编写和提交竞争性谈判响应文件有关的费用，不论谈判结果如何，采购人和采购代理机构在任何情况下无义务和责任承担此类费用。</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（2）成交服务费：成交供应商须在收到成交通知书时向采购代理机构支付成交服务费。服务费支付标准和方法详见供应商须知前附表。</w:t>
      </w:r>
    </w:p>
    <w:p>
      <w:pPr>
        <w:widowControl/>
        <w:spacing w:line="360" w:lineRule="auto"/>
        <w:ind w:firstLine="482" w:firstLineChars="200"/>
        <w:jc w:val="left"/>
        <w:outlineLvl w:val="2"/>
        <w:rPr>
          <w:rFonts w:ascii="宋体" w:hAnsi="宋体" w:cs="宋体"/>
          <w:b/>
          <w:kern w:val="0"/>
          <w:sz w:val="24"/>
        </w:rPr>
      </w:pPr>
      <w:bookmarkStart w:id="32" w:name="_Toc456291270"/>
      <w:bookmarkStart w:id="33" w:name="_Toc456291527"/>
      <w:bookmarkStart w:id="34" w:name="_Toc46744894"/>
      <w:bookmarkStart w:id="35" w:name="_Toc462487361"/>
      <w:bookmarkStart w:id="36" w:name="_Toc456291344"/>
      <w:bookmarkStart w:id="37" w:name="_Toc46764848"/>
      <w:bookmarkStart w:id="38" w:name="_Toc44692119"/>
      <w:bookmarkStart w:id="39" w:name="_Toc456291469"/>
      <w:bookmarkStart w:id="40" w:name="_Toc44855425"/>
      <w:bookmarkStart w:id="41" w:name="_Toc770"/>
      <w:bookmarkStart w:id="42" w:name="_Toc456291250"/>
      <w:bookmarkStart w:id="43" w:name="_Toc456291155"/>
      <w:r>
        <w:rPr>
          <w:rFonts w:hint="eastAsia" w:ascii="宋体" w:hAnsi="宋体" w:cs="宋体"/>
          <w:b/>
          <w:kern w:val="0"/>
          <w:sz w:val="24"/>
        </w:rPr>
        <w:t>（二）竞争性谈判响应文件的编制</w:t>
      </w:r>
      <w:bookmarkEnd w:id="32"/>
      <w:bookmarkEnd w:id="33"/>
      <w:bookmarkEnd w:id="34"/>
      <w:bookmarkEnd w:id="35"/>
      <w:bookmarkEnd w:id="36"/>
      <w:bookmarkEnd w:id="37"/>
      <w:bookmarkEnd w:id="38"/>
      <w:bookmarkEnd w:id="39"/>
      <w:bookmarkEnd w:id="40"/>
      <w:bookmarkEnd w:id="41"/>
      <w:bookmarkEnd w:id="42"/>
      <w:bookmarkEnd w:id="43"/>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5.竞争性谈判响应文件编制基本要求</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（2）谈判供应商应认真阅读、并充分理解本文件的全部内容（包括所有的补充、修改内容），承诺并履行本文件中各项条款规定及要求。</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（3）谈判响应文件必须按本文件的全部内容，包括所有的补充通知及附件进行编制。</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（4）如因谈判供应商只填写和提供了本文件要求的部分内容和附件，而给评审造成困难，其可能导致的结果和责任由谈判供应商自行承担。</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6.竞争性谈判响应文件的组成</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竞争性谈判响应文件应分为“商务文件”和“技术文件”两个部分组成。</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7.竞争性谈判响应文件的编制</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（1）谈判响应文件的编制。</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① 谈判响应文件制作时，应按照统一的谈判文件中明确的谈判响应文件目录和技术规格、参数及相关要求格式进行编制，保证目录清晰、内容完整。</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② 供应商应按照供应商须知前附表要求的份数编制谈判响应文件，采用A4规格纸张进行打印并胶装成册，对未经装订的响应文件可能发生的文件散落或缺损，由此产生的后果其责任由供应商承担。</w:t>
      </w:r>
    </w:p>
    <w:p>
      <w:pPr>
        <w:pStyle w:val="5"/>
        <w:spacing w:line="360" w:lineRule="auto"/>
        <w:ind w:firstLineChars="175"/>
        <w:rPr>
          <w:rFonts w:ascii="宋体" w:hAnsi="宋体" w:cs="宋体"/>
          <w:color w:val="000000"/>
          <w:sz w:val="24"/>
          <w:szCs w:val="24"/>
        </w:rPr>
      </w:pPr>
      <w:r>
        <w:rPr>
          <w:rFonts w:hint="eastAsia" w:ascii="宋体" w:hAnsi="宋体" w:cs="宋体"/>
          <w:color w:val="000000"/>
          <w:sz w:val="24"/>
          <w:szCs w:val="24"/>
        </w:rPr>
        <w:t>③ 当副本和正本不一致时，以正本为准。</w:t>
      </w:r>
    </w:p>
    <w:p>
      <w:pPr>
        <w:pStyle w:val="5"/>
        <w:spacing w:line="360" w:lineRule="auto"/>
        <w:ind w:firstLineChars="175"/>
        <w:rPr>
          <w:rFonts w:ascii="宋体" w:hAnsi="宋体" w:cs="宋体"/>
          <w:color w:val="000000"/>
          <w:sz w:val="24"/>
          <w:szCs w:val="24"/>
        </w:rPr>
      </w:pPr>
      <w:r>
        <w:rPr>
          <w:rFonts w:hint="eastAsia" w:ascii="宋体" w:hAnsi="宋体" w:cs="宋体"/>
          <w:color w:val="000000"/>
          <w:sz w:val="24"/>
          <w:szCs w:val="24"/>
        </w:rPr>
        <w:t>④ 谈判过程文件具有法律效力,若谈判响应文件与谈判文件要求不一致，其内容影响采购结果时，责任由供应商自行承担。</w:t>
      </w:r>
    </w:p>
    <w:p>
      <w:pPr>
        <w:pStyle w:val="5"/>
        <w:spacing w:line="360" w:lineRule="auto"/>
        <w:ind w:firstLineChars="175"/>
        <w:rPr>
          <w:rFonts w:ascii="宋体" w:hAnsi="宋体" w:cs="宋体"/>
          <w:color w:val="000000"/>
          <w:sz w:val="24"/>
          <w:szCs w:val="24"/>
        </w:rPr>
      </w:pPr>
      <w:r>
        <w:rPr>
          <w:rFonts w:hint="eastAsia" w:ascii="宋体" w:hAnsi="宋体" w:cs="宋体"/>
          <w:color w:val="000000"/>
          <w:sz w:val="24"/>
          <w:szCs w:val="24"/>
        </w:rPr>
        <w:t>⑤ 为了保证谈判响应文件的合法性、安全性和完整性，谈判响应文件制作完成后应在规定区域加盖单位和法定代表人印章。谈判响应文件若无签字或盖章，则视为无效文件。</w:t>
      </w:r>
    </w:p>
    <w:p>
      <w:pPr>
        <w:pStyle w:val="5"/>
        <w:spacing w:line="360" w:lineRule="auto"/>
        <w:ind w:firstLineChars="175"/>
        <w:rPr>
          <w:rFonts w:ascii="宋体" w:hAnsi="宋体" w:cs="宋体"/>
          <w:color w:val="000000"/>
          <w:sz w:val="24"/>
          <w:szCs w:val="24"/>
        </w:rPr>
      </w:pPr>
      <w:r>
        <w:rPr>
          <w:rFonts w:hint="eastAsia" w:ascii="宋体" w:hAnsi="宋体" w:cs="宋体"/>
          <w:color w:val="000000"/>
          <w:sz w:val="24"/>
          <w:szCs w:val="24"/>
        </w:rPr>
        <w:t>⑥ 供应商应完整地填写谈判文件中提供的《谈判响应函》、《报价一览表》、《分项报价明细表》等谈判文件中规定的所有内容。</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（2）供应商必须保证谈判响应文件所提供的全部资料真实可靠，并接受采购单位对其中任何资料进一步核实的要求。</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8.计量单位</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除技术要求中另有规定外，本文件所要求使用的计量单位均应采用国家法定计量单位。</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9.谈判保证金</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本项目不适用。</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10.谈判的有效期</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（1）谈判有效期详见供应商须知前附表。谈判供应商谈判有效期不足的将被视为无效谈判。</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（2）特殊情况下，在原谈判有效期截止之前，采购代理机构或采购人可要求谈判供应商延长谈判有效期。这种要求与答复均应以书面形式提交。</w:t>
      </w:r>
    </w:p>
    <w:p>
      <w:pPr>
        <w:widowControl/>
        <w:spacing w:line="360" w:lineRule="auto"/>
        <w:ind w:firstLine="482" w:firstLineChars="200"/>
        <w:jc w:val="left"/>
        <w:outlineLvl w:val="2"/>
        <w:rPr>
          <w:rFonts w:ascii="宋体" w:hAnsi="宋体" w:cs="宋体"/>
          <w:b/>
          <w:kern w:val="0"/>
          <w:sz w:val="24"/>
        </w:rPr>
      </w:pPr>
      <w:bookmarkStart w:id="44" w:name="_Toc46744895"/>
      <w:bookmarkStart w:id="45" w:name="_Toc456291528"/>
      <w:bookmarkStart w:id="46" w:name="_Toc25940"/>
      <w:bookmarkStart w:id="47" w:name="_Toc456291470"/>
      <w:bookmarkStart w:id="48" w:name="_Toc456291345"/>
      <w:bookmarkStart w:id="49" w:name="_Toc46764849"/>
      <w:bookmarkStart w:id="50" w:name="_Toc44692120"/>
      <w:bookmarkStart w:id="51" w:name="_Toc462487362"/>
      <w:bookmarkStart w:id="52" w:name="_Toc456291251"/>
      <w:bookmarkStart w:id="53" w:name="_Toc456291271"/>
      <w:bookmarkStart w:id="54" w:name="_Toc44855426"/>
      <w:bookmarkStart w:id="55" w:name="_Toc456291156"/>
      <w:r>
        <w:rPr>
          <w:rFonts w:hint="eastAsia" w:ascii="宋体" w:hAnsi="宋体" w:cs="宋体"/>
          <w:b/>
          <w:kern w:val="0"/>
          <w:sz w:val="24"/>
        </w:rPr>
        <w:t>（三）竞争性谈判报价要求</w:t>
      </w:r>
      <w:bookmarkEnd w:id="44"/>
      <w:bookmarkEnd w:id="45"/>
      <w:bookmarkEnd w:id="46"/>
      <w:bookmarkEnd w:id="47"/>
      <w:bookmarkEnd w:id="48"/>
      <w:bookmarkEnd w:id="49"/>
      <w:bookmarkEnd w:id="50"/>
      <w:bookmarkEnd w:id="51"/>
      <w:bookmarkEnd w:id="52"/>
      <w:bookmarkEnd w:id="53"/>
      <w:bookmarkEnd w:id="54"/>
      <w:bookmarkEnd w:id="55"/>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11.报价要求</w:t>
      </w:r>
    </w:p>
    <w:p>
      <w:pPr>
        <w:pStyle w:val="5"/>
        <w:spacing w:line="360" w:lineRule="auto"/>
        <w:ind w:firstLine="480"/>
        <w:rPr>
          <w:rFonts w:ascii="宋体" w:hAnsi="宋体" w:cs="宋体"/>
          <w:color w:val="000000"/>
          <w:sz w:val="24"/>
          <w:szCs w:val="24"/>
        </w:rPr>
      </w:pPr>
      <w:bookmarkStart w:id="56" w:name="_Toc456291529"/>
      <w:bookmarkStart w:id="57" w:name="_Toc456291157"/>
      <w:bookmarkStart w:id="58" w:name="_Toc456291346"/>
      <w:bookmarkStart w:id="59" w:name="_Toc456291252"/>
      <w:bookmarkStart w:id="60" w:name="_Toc456291471"/>
      <w:bookmarkStart w:id="61" w:name="_Toc462487363"/>
      <w:bookmarkStart w:id="62" w:name="_Toc456291272"/>
      <w:r>
        <w:rPr>
          <w:rFonts w:hint="eastAsia" w:ascii="宋体" w:hAnsi="宋体" w:cs="宋体"/>
          <w:color w:val="000000"/>
          <w:sz w:val="24"/>
          <w:szCs w:val="24"/>
        </w:rPr>
        <w:t>（1）谈判供应商所提供的服务均以人民币报价。</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（2）谈判总报价应是本项目服务范围内全部内容的价格体现,包括货款、包装费、运杂费、售后服务、税金、利润等各种应有费用。</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（3）对于本文件中未列明，而谈判供应商认为必需的费用也需列入总报价。在合同实施时，采购人将不予支付成交供应商没有列入的项目费用，并认为此项目的费用已包括在总报价中。</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（4）谈判供应商要详细填写“报价一览表”和“分项报价表”中的内容，由法人代表签字或盖章确认，并加盖单位公章。</w:t>
      </w:r>
    </w:p>
    <w:p>
      <w:pPr>
        <w:widowControl/>
        <w:spacing w:line="360" w:lineRule="auto"/>
        <w:ind w:firstLine="482" w:firstLineChars="200"/>
        <w:jc w:val="left"/>
        <w:outlineLvl w:val="2"/>
        <w:rPr>
          <w:rFonts w:ascii="宋体" w:hAnsi="宋体" w:cs="宋体"/>
          <w:b/>
          <w:kern w:val="0"/>
          <w:sz w:val="24"/>
        </w:rPr>
      </w:pPr>
      <w:bookmarkStart w:id="63" w:name="_Toc44692121"/>
      <w:bookmarkStart w:id="64" w:name="_Toc46764850"/>
      <w:bookmarkStart w:id="65" w:name="_Toc44855427"/>
      <w:bookmarkStart w:id="66" w:name="_Toc46744896"/>
      <w:bookmarkStart w:id="67" w:name="_Toc4289"/>
      <w:r>
        <w:rPr>
          <w:rFonts w:hint="eastAsia" w:ascii="宋体" w:hAnsi="宋体" w:cs="宋体"/>
          <w:b/>
          <w:kern w:val="0"/>
          <w:sz w:val="24"/>
        </w:rPr>
        <w:t>（四）竞争性谈判响应文件的份数、封装和递交</w:t>
      </w:r>
      <w:bookmarkEnd w:id="56"/>
      <w:bookmarkEnd w:id="57"/>
      <w:bookmarkEnd w:id="58"/>
      <w:bookmarkEnd w:id="59"/>
      <w:bookmarkEnd w:id="60"/>
      <w:bookmarkEnd w:id="61"/>
      <w:bookmarkEnd w:id="62"/>
      <w:bookmarkEnd w:id="63"/>
      <w:bookmarkEnd w:id="64"/>
      <w:bookmarkEnd w:id="65"/>
      <w:bookmarkEnd w:id="66"/>
      <w:bookmarkEnd w:id="67"/>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12.谈判响应文件的份数</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谈判供应商应编制竞争性谈判响应文件四份。其中：正本一份、副本三份，电子版U盘一份。若未按规定的方式编制和份数提交谈判响应文件的，采购代理机构不予受理。</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13.谈判响应文件的密封和标记</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谈判响应文件的密封和标记。谈判响应文件须用信封单独密封，并在信封上注明采购项目名称、项目编号、供应商名称和有“在（谈判文件中规定的谈判日期和时间）之前不得启封”的字样，封口处加盖供应商印章。如果未按要求密封和标记，采购单位不予受理。</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14.谈判响应文件的递交</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供应商应在谈判文件规定的谈判时间前递交谈判响应文件。逾期送达的，或者未送达指定地点，以及未按指定方式送达的谈判响应文件，采购单位不予受理。</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15.迟交的竞争性谈判响应文件</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采购代理机构将拒绝并原封退回在其规定的递交竞争性谈判响应文件截止时间之后收到的竞争性谈判响应文件。</w:t>
      </w:r>
    </w:p>
    <w:p>
      <w:pPr>
        <w:widowControl/>
        <w:spacing w:line="360" w:lineRule="auto"/>
        <w:ind w:firstLine="482" w:firstLineChars="200"/>
        <w:jc w:val="left"/>
        <w:outlineLvl w:val="2"/>
        <w:rPr>
          <w:rFonts w:ascii="宋体" w:hAnsi="宋体" w:cs="宋体"/>
          <w:b/>
          <w:kern w:val="0"/>
          <w:sz w:val="24"/>
        </w:rPr>
      </w:pPr>
      <w:bookmarkStart w:id="68" w:name="_Toc46744897"/>
      <w:bookmarkStart w:id="69" w:name="_Toc456291472"/>
      <w:bookmarkStart w:id="70" w:name="_Toc46764851"/>
      <w:bookmarkStart w:id="71" w:name="_Toc462487364"/>
      <w:bookmarkStart w:id="72" w:name="_Toc456291347"/>
      <w:bookmarkStart w:id="73" w:name="_Toc20094"/>
      <w:bookmarkStart w:id="74" w:name="_Toc456291530"/>
      <w:bookmarkStart w:id="75" w:name="_Toc44855428"/>
      <w:bookmarkStart w:id="76" w:name="_Toc456291253"/>
      <w:bookmarkStart w:id="77" w:name="_Toc456291158"/>
      <w:bookmarkStart w:id="78" w:name="_Toc44692122"/>
      <w:bookmarkStart w:id="79" w:name="_Toc456291273"/>
      <w:r>
        <w:rPr>
          <w:rFonts w:hint="eastAsia" w:ascii="宋体" w:hAnsi="宋体" w:cs="宋体"/>
          <w:b/>
          <w:kern w:val="0"/>
          <w:sz w:val="24"/>
        </w:rPr>
        <w:t>（五）</w:t>
      </w:r>
      <w:bookmarkEnd w:id="68"/>
      <w:bookmarkEnd w:id="69"/>
      <w:bookmarkEnd w:id="70"/>
      <w:bookmarkEnd w:id="71"/>
      <w:bookmarkEnd w:id="72"/>
      <w:bookmarkEnd w:id="73"/>
      <w:bookmarkEnd w:id="74"/>
      <w:bookmarkEnd w:id="75"/>
      <w:bookmarkEnd w:id="76"/>
      <w:bookmarkEnd w:id="77"/>
      <w:bookmarkEnd w:id="78"/>
      <w:bookmarkEnd w:id="79"/>
      <w:r>
        <w:rPr>
          <w:rFonts w:hint="eastAsia" w:ascii="宋体" w:hAnsi="宋体" w:cs="宋体"/>
          <w:b/>
          <w:kern w:val="0"/>
          <w:sz w:val="24"/>
        </w:rPr>
        <w:t>谈判程序及步骤</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16.成立谈判小组</w:t>
      </w:r>
    </w:p>
    <w:p>
      <w:pPr>
        <w:pStyle w:val="5"/>
        <w:spacing w:line="360" w:lineRule="auto"/>
        <w:ind w:firstLine="456"/>
        <w:rPr>
          <w:rFonts w:ascii="宋体" w:hAnsi="宋体" w:cs="宋体"/>
          <w:color w:val="000000"/>
          <w:sz w:val="24"/>
          <w:szCs w:val="24"/>
        </w:rPr>
      </w:pPr>
      <w:r>
        <w:rPr>
          <w:rFonts w:hint="eastAsia" w:ascii="宋体" w:hAnsi="宋体" w:cs="宋体"/>
          <w:color w:val="000000"/>
          <w:spacing w:val="-6"/>
          <w:sz w:val="24"/>
          <w:szCs w:val="24"/>
        </w:rPr>
        <w:t>谈判小组由采购人代表和专家评委共三人以上的单数组成。专家评委依法从专家库随机抽取。</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17.谈判响应文件的审核</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谈判小组根据谈判原则及标准对谈判供应商递交的竞争性谈判响应文件进行资格和符合性审查，以确定其谈判供应商是否具备参加竞争性谈判的资格。</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（1）竞争性谈判响应文件凡具有下列情形之一者，均视为没有响应谈判文件要求的无效文件：</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① 供应商不具备谈判文件规定的供应商资格条件的。</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② 谈判响应文件组成中“资格证明文件”缺失或无效。</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（2）竞争性谈判响应文件被确认为无效文件后，该谈判供应商即失去参加本次竞争性谈判的资格。</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18.谈判</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（1）第一轮谈判</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① 谈判小组按抽签决定的谈判顺序，与单一供应商分别就符合采购需求、质量和服务等进行谈判，并了解其报价组成情况。</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② 谈判中，谈判的任何一方不得透露与谈判有关的其他供应商的技术资料、价格和其他信息。</w:t>
      </w:r>
    </w:p>
    <w:p>
      <w:pPr>
        <w:pStyle w:val="5"/>
        <w:spacing w:line="360" w:lineRule="auto"/>
        <w:ind w:firstLine="480"/>
        <w:rPr>
          <w:rFonts w:ascii="宋体" w:hAnsi="宋体" w:cs="宋体"/>
          <w:sz w:val="24"/>
          <w:szCs w:val="24"/>
        </w:rPr>
      </w:pPr>
      <w:r>
        <w:rPr>
          <w:rFonts w:hint="eastAsia" w:ascii="宋体" w:hAnsi="宋体" w:cs="宋体"/>
          <w:color w:val="000000"/>
          <w:sz w:val="24"/>
          <w:szCs w:val="24"/>
        </w:rPr>
        <w:t>③ 代理机构对谈判过程和重要谈判内容进行记录，谈判双方在记录上签字确认。</w:t>
      </w:r>
      <w:r>
        <w:rPr>
          <w:rFonts w:hint="eastAsia" w:ascii="宋体" w:hAnsi="宋体" w:cs="宋体"/>
          <w:sz w:val="24"/>
          <w:szCs w:val="24"/>
        </w:rPr>
        <w:t>谈判小组一致确定响应供应商符合谈判文件要求的，按谈判文件设定的方法和标准确定成交候选人。在第一轮谈判中谈判小组未能确定成交候选人的，对谈判文件修正后进行第二轮谈判。</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（2）谈判文件修正</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① 第一轮谈判结束后，各响应供应商退场等候，谈判小组进行合议。根据第一轮谈判掌握的情况，可以对谈判文件进行修改，确定采购内容的详细规格或具体要求，优化采购方案。</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② 通知响应供应商集中，谈判小组强调调整后的采购要求，将谈判文件的修改结果以书面形式通知响应供应商，向响应供应商提供较充分的修正时间。</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③ 响应供应商根据第一轮谈判情况和谈判文件修改书面通知，对原响应文件进行修正，并将修正文件签字（盖章）后密封送交谈判小组。逾时不交的，视同放弃谈判。修正文件与响应文件同具法律效应。</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（3）最终报价</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① 谈判小组根据第一轮谈判的结果，只要求资格、符合、商务评审和技术（服务）评审合格的谈判供应商在规定的时间内进行最终报价。</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② 如果出现相同最低报价，谈判小组将要求相同最低报价的谈判供应商再次报价，直至确定只有一个最低报价为止。</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③ 最终报价文件应在规定的同一时间内提交，该最终报价将作为谈判小组评比的最终依据。</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（4）谈判供应商的报价均超过了采购预算，采购人不能支付的，谈判活动终止。</w:t>
      </w:r>
    </w:p>
    <w:p>
      <w:pPr>
        <w:widowControl/>
        <w:spacing w:line="360" w:lineRule="auto"/>
        <w:ind w:firstLine="482" w:firstLineChars="200"/>
        <w:jc w:val="left"/>
        <w:outlineLvl w:val="2"/>
        <w:rPr>
          <w:rFonts w:ascii="宋体" w:hAnsi="宋体" w:cs="宋体"/>
          <w:b/>
          <w:kern w:val="0"/>
          <w:sz w:val="24"/>
        </w:rPr>
      </w:pPr>
      <w:bookmarkStart w:id="80" w:name="_Toc462487365"/>
      <w:bookmarkStart w:id="81" w:name="_Toc456291473"/>
      <w:bookmarkStart w:id="82" w:name="_Toc456291254"/>
      <w:bookmarkStart w:id="83" w:name="_Toc44692123"/>
      <w:bookmarkStart w:id="84" w:name="_Toc456291531"/>
      <w:bookmarkStart w:id="85" w:name="_Toc44855429"/>
      <w:bookmarkStart w:id="86" w:name="_Toc456291159"/>
      <w:bookmarkStart w:id="87" w:name="_Toc28588"/>
      <w:bookmarkStart w:id="88" w:name="_Toc456291348"/>
      <w:bookmarkStart w:id="89" w:name="_Toc46744898"/>
      <w:bookmarkStart w:id="90" w:name="_Toc46764852"/>
      <w:bookmarkStart w:id="91" w:name="_Toc456291274"/>
      <w:r>
        <w:rPr>
          <w:rFonts w:hint="eastAsia" w:ascii="宋体" w:hAnsi="宋体" w:cs="宋体"/>
          <w:b/>
          <w:kern w:val="0"/>
          <w:sz w:val="24"/>
        </w:rPr>
        <w:t>（六）确定成交供应商办法和原则</w:t>
      </w:r>
      <w:bookmarkEnd w:id="80"/>
      <w:bookmarkEnd w:id="81"/>
      <w:bookmarkEnd w:id="82"/>
      <w:bookmarkEnd w:id="83"/>
      <w:bookmarkEnd w:id="84"/>
      <w:bookmarkEnd w:id="85"/>
      <w:bookmarkEnd w:id="86"/>
      <w:bookmarkEnd w:id="87"/>
      <w:bookmarkEnd w:id="88"/>
      <w:bookmarkEnd w:id="89"/>
      <w:bookmarkEnd w:id="90"/>
      <w:bookmarkEnd w:id="91"/>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19.确定成交供应商</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（1）谈判小组根据符合采购需求、质量和服务相等且报价最低的原则推荐成交候选供应商。</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（2）最低报价不是成交的唯一标准。但是，在符合采购需求、质量和服务相等的情况下，报价是确定成交的关键因素。</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（3）谈判小组按照最后报价由低到高的顺序向采购人推荐三名成交候选人。</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（4）采购人收到谈判小组推荐的成交候选供应商名单后五个工作日内，根据符合采购需求、质量和服务相等且报价最低的原则确定成交供应商，并出具书面确认函。</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（5）成交供应商确定后，采购代理机构将在指定的媒体上发布成交公告，同时向成交供应商发出《成交通知书》。《成交通知书》是合同的组成部分,对成交供应商和采购人具有同等法律效力。</w:t>
      </w:r>
    </w:p>
    <w:p>
      <w:pPr>
        <w:widowControl/>
        <w:spacing w:line="360" w:lineRule="auto"/>
        <w:ind w:firstLine="482" w:firstLineChars="200"/>
        <w:jc w:val="left"/>
        <w:outlineLvl w:val="2"/>
        <w:rPr>
          <w:rFonts w:ascii="宋体" w:hAnsi="宋体" w:cs="宋体"/>
          <w:b/>
          <w:kern w:val="0"/>
          <w:sz w:val="24"/>
        </w:rPr>
      </w:pPr>
      <w:bookmarkStart w:id="92" w:name="_Toc46764853"/>
      <w:bookmarkStart w:id="93" w:name="_Toc44692124"/>
      <w:bookmarkStart w:id="94" w:name="_Toc46744899"/>
      <w:bookmarkStart w:id="95" w:name="_Toc44855430"/>
      <w:bookmarkStart w:id="96" w:name="_Toc28067"/>
      <w:r>
        <w:rPr>
          <w:rFonts w:hint="eastAsia" w:ascii="宋体" w:hAnsi="宋体" w:cs="宋体"/>
          <w:b/>
          <w:kern w:val="0"/>
          <w:sz w:val="24"/>
        </w:rPr>
        <w:t>（七）授予合同</w:t>
      </w:r>
      <w:bookmarkEnd w:id="92"/>
      <w:bookmarkEnd w:id="93"/>
      <w:bookmarkEnd w:id="94"/>
      <w:bookmarkEnd w:id="95"/>
      <w:bookmarkEnd w:id="96"/>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20.合同授予标准</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采购人将把合同授予被确定为实质上响应谈判文件的且排名第一的成交候选供应商，特殊情况按规定执行。</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21.签订合同</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（1）成交供应商在收到《成交通知书》后，按规定与采购人签订供货服务合同。</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（2）成交供应商不得向他人转让成交项目，如果成交供应商向他人转让成交项目或在履行合同时发生违约行为，采购监管部门将视情节轻重，按有关规定给予处罚。</w:t>
      </w:r>
    </w:p>
    <w:p>
      <w:pPr>
        <w:widowControl/>
        <w:spacing w:line="360" w:lineRule="auto"/>
        <w:ind w:firstLine="482" w:firstLineChars="200"/>
        <w:jc w:val="left"/>
        <w:outlineLvl w:val="2"/>
        <w:rPr>
          <w:rFonts w:ascii="宋体" w:hAnsi="宋体" w:cs="宋体"/>
          <w:b/>
          <w:kern w:val="0"/>
          <w:sz w:val="24"/>
        </w:rPr>
      </w:pPr>
      <w:bookmarkStart w:id="97" w:name="_Toc44692125"/>
      <w:bookmarkStart w:id="98" w:name="_Toc15655"/>
      <w:bookmarkStart w:id="99" w:name="_Toc456291256"/>
      <w:bookmarkStart w:id="100" w:name="_Toc46764854"/>
      <w:bookmarkStart w:id="101" w:name="_Toc462487367"/>
      <w:bookmarkStart w:id="102" w:name="_Toc456291161"/>
      <w:bookmarkStart w:id="103" w:name="_Toc456291475"/>
      <w:bookmarkStart w:id="104" w:name="_Toc456291350"/>
      <w:bookmarkStart w:id="105" w:name="_Toc456291276"/>
      <w:bookmarkStart w:id="106" w:name="_Toc44855431"/>
      <w:bookmarkStart w:id="107" w:name="_Toc456291533"/>
      <w:bookmarkStart w:id="108" w:name="_Toc46744900"/>
      <w:r>
        <w:rPr>
          <w:rFonts w:hint="eastAsia" w:ascii="宋体" w:hAnsi="宋体" w:cs="宋体"/>
          <w:b/>
          <w:kern w:val="0"/>
          <w:sz w:val="24"/>
        </w:rPr>
        <w:t>（八）公告、质疑</w:t>
      </w:r>
      <w:bookmarkEnd w:id="97"/>
      <w:bookmarkEnd w:id="98"/>
      <w:bookmarkEnd w:id="99"/>
      <w:bookmarkEnd w:id="100"/>
      <w:bookmarkEnd w:id="101"/>
      <w:bookmarkEnd w:id="102"/>
      <w:bookmarkEnd w:id="103"/>
      <w:bookmarkEnd w:id="104"/>
      <w:bookmarkEnd w:id="105"/>
      <w:bookmarkEnd w:id="106"/>
      <w:bookmarkEnd w:id="107"/>
      <w:bookmarkEnd w:id="108"/>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22.公告</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采购代理机构将在指定媒体上发布采购公告、通知、评审结果公告等谈判程序中所有信息。成交公告期为一个工作日。</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23.质疑</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（1）如果谈判供应商对此次采购活动有疑问，可依据《中华人民共和国政府采购法》等相关规定，在规定时间内以书面形式向采购人和采购代理机构提出质疑。质疑书应当包括下列主要内容：</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① 质疑人的名称、地址、联系人及联系电话等。</w:t>
      </w:r>
    </w:p>
    <w:p>
      <w:pPr>
        <w:pStyle w:val="5"/>
        <w:spacing w:line="360" w:lineRule="auto"/>
        <w:ind w:firstLine="480"/>
        <w:rPr>
          <w:rFonts w:ascii="宋体" w:hAnsi="宋体" w:cs="宋体"/>
          <w:color w:val="000000"/>
          <w:spacing w:val="-6"/>
          <w:sz w:val="24"/>
          <w:szCs w:val="24"/>
        </w:rPr>
      </w:pPr>
      <w:r>
        <w:rPr>
          <w:rFonts w:hint="eastAsia" w:ascii="宋体" w:hAnsi="宋体" w:cs="宋体"/>
          <w:color w:val="000000"/>
          <w:sz w:val="24"/>
          <w:szCs w:val="24"/>
        </w:rPr>
        <w:t xml:space="preserve">② </w:t>
      </w:r>
      <w:r>
        <w:rPr>
          <w:rFonts w:hint="eastAsia" w:ascii="宋体" w:hAnsi="宋体" w:cs="宋体"/>
          <w:color w:val="000000"/>
          <w:spacing w:val="-6"/>
          <w:sz w:val="24"/>
          <w:szCs w:val="24"/>
        </w:rPr>
        <w:t>质疑人法人签章和单位公章（质疑人为自然人的，应由本人签字；质疑人为法人或者其他组织的，应当由法定代表人或者主要负责人签字盖章并加盖公章）。</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③ 具体的质疑事项及事实依据。</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④ 明确的请求和必要（合法来源）的证明材料。</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⑤ 以联合体形式参与谈判的，则必须联合体各方共同签署、盖章。</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⑥ 提起质疑的日期。</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⑦ 法人授权委托书（质疑人或法人委托代理人办事质疑事务的，应当提供授权委托书，授权委托书应当载明委托代理的具体权限和事项）。</w:t>
      </w:r>
    </w:p>
    <w:p>
      <w:pPr>
        <w:pStyle w:val="5"/>
        <w:spacing w:line="360" w:lineRule="auto"/>
        <w:ind w:firstLine="436"/>
        <w:rPr>
          <w:rFonts w:ascii="宋体" w:hAnsi="宋体" w:cs="宋体"/>
          <w:color w:val="000000"/>
          <w:spacing w:val="-11"/>
          <w:sz w:val="24"/>
          <w:szCs w:val="24"/>
        </w:rPr>
      </w:pPr>
      <w:r>
        <w:rPr>
          <w:rFonts w:hint="eastAsia" w:ascii="宋体" w:hAnsi="宋体" w:cs="宋体"/>
          <w:color w:val="000000"/>
          <w:spacing w:val="-11"/>
          <w:sz w:val="24"/>
          <w:szCs w:val="24"/>
        </w:rPr>
        <w:t>特注：未按上述程序规定的必备内容进行质疑的，采购机构将不予以受理。</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（2）成交公告期限届满之日起七个工作日内如有质疑的，采购人或采购代理机构将依法给与答复，并将结果告知所有当事人。</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（3）质疑供应商对采购人或采购代理机构答复不满意，可在十五个工作日内向采购监管部门投诉。</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（4）谈判供应商的质疑和投诉应有事实依据，若为无效投诉，采购监管部门将按有关规定给予处罚。</w:t>
      </w:r>
    </w:p>
    <w:p>
      <w:pPr>
        <w:widowControl/>
        <w:spacing w:line="360" w:lineRule="auto"/>
        <w:ind w:firstLine="482" w:firstLineChars="200"/>
        <w:jc w:val="left"/>
        <w:outlineLvl w:val="2"/>
        <w:rPr>
          <w:rFonts w:ascii="宋体" w:hAnsi="宋体" w:cs="宋体"/>
          <w:b/>
          <w:kern w:val="0"/>
          <w:sz w:val="24"/>
        </w:rPr>
      </w:pPr>
      <w:bookmarkStart w:id="109" w:name="_Toc456291351"/>
      <w:bookmarkStart w:id="110" w:name="_Toc456291476"/>
      <w:bookmarkStart w:id="111" w:name="_Toc462487368"/>
      <w:bookmarkStart w:id="112" w:name="_Toc46744901"/>
      <w:bookmarkStart w:id="113" w:name="_Toc456291277"/>
      <w:bookmarkStart w:id="114" w:name="_Toc456291257"/>
      <w:bookmarkStart w:id="115" w:name="_Toc456291162"/>
      <w:bookmarkStart w:id="116" w:name="_Toc44692126"/>
      <w:bookmarkStart w:id="117" w:name="_Toc26773"/>
      <w:bookmarkStart w:id="118" w:name="_Toc456291534"/>
      <w:bookmarkStart w:id="119" w:name="_Toc44855432"/>
      <w:bookmarkStart w:id="120" w:name="_Toc46764855"/>
      <w:r>
        <w:rPr>
          <w:rFonts w:hint="eastAsia" w:ascii="宋体" w:hAnsi="宋体" w:cs="宋体"/>
          <w:b/>
          <w:kern w:val="0"/>
          <w:sz w:val="24"/>
        </w:rPr>
        <w:t>（九）项目验收</w:t>
      </w:r>
      <w:bookmarkEnd w:id="109"/>
      <w:bookmarkEnd w:id="110"/>
      <w:bookmarkEnd w:id="111"/>
      <w:bookmarkEnd w:id="112"/>
      <w:bookmarkEnd w:id="113"/>
      <w:bookmarkEnd w:id="114"/>
      <w:bookmarkEnd w:id="115"/>
      <w:bookmarkEnd w:id="116"/>
      <w:bookmarkEnd w:id="117"/>
      <w:bookmarkEnd w:id="118"/>
      <w:bookmarkEnd w:id="119"/>
      <w:bookmarkEnd w:id="120"/>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24.项目实施完毕，采购代理机构和采购人组织对供应商履约的验收。</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25.验收标准：谈判文件、谈判响应文件、采购合同规定的标准。</w:t>
      </w:r>
    </w:p>
    <w:p>
      <w:pPr>
        <w:widowControl/>
        <w:spacing w:line="360" w:lineRule="auto"/>
        <w:ind w:firstLine="482" w:firstLineChars="200"/>
        <w:jc w:val="left"/>
        <w:outlineLvl w:val="2"/>
        <w:rPr>
          <w:rFonts w:ascii="宋体" w:hAnsi="宋体" w:cs="宋体"/>
          <w:b/>
          <w:kern w:val="0"/>
          <w:sz w:val="24"/>
        </w:rPr>
      </w:pPr>
      <w:bookmarkStart w:id="121" w:name="_Toc456291278"/>
      <w:bookmarkStart w:id="122" w:name="_Toc456291535"/>
      <w:bookmarkStart w:id="123" w:name="_Toc44692127"/>
      <w:bookmarkStart w:id="124" w:name="_Toc456291477"/>
      <w:bookmarkStart w:id="125" w:name="_Toc462487369"/>
      <w:bookmarkStart w:id="126" w:name="_Toc456291258"/>
      <w:bookmarkStart w:id="127" w:name="_Toc30161"/>
      <w:bookmarkStart w:id="128" w:name="_Toc456291163"/>
      <w:bookmarkStart w:id="129" w:name="_Toc456291352"/>
      <w:bookmarkStart w:id="130" w:name="_Toc44855433"/>
      <w:bookmarkStart w:id="131" w:name="_Toc46764856"/>
      <w:bookmarkStart w:id="132" w:name="_Toc46744902"/>
      <w:r>
        <w:rPr>
          <w:rFonts w:hint="eastAsia" w:ascii="宋体" w:hAnsi="宋体" w:cs="宋体"/>
          <w:b/>
          <w:kern w:val="0"/>
          <w:sz w:val="24"/>
        </w:rPr>
        <w:t>（十）适用法律</w:t>
      </w:r>
      <w:bookmarkEnd w:id="121"/>
      <w:bookmarkEnd w:id="122"/>
      <w:bookmarkEnd w:id="123"/>
      <w:bookmarkEnd w:id="124"/>
      <w:bookmarkEnd w:id="125"/>
      <w:bookmarkEnd w:id="126"/>
      <w:bookmarkEnd w:id="127"/>
      <w:bookmarkEnd w:id="128"/>
      <w:bookmarkEnd w:id="129"/>
      <w:bookmarkEnd w:id="130"/>
      <w:bookmarkEnd w:id="131"/>
      <w:bookmarkEnd w:id="132"/>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26.采购当事人的一切活动均适用于《中华人民共和国政府采购法》、《政府采购非招标采购方式管理办法》及相关规定。</w:t>
      </w:r>
    </w:p>
    <w:p>
      <w:pPr>
        <w:pStyle w:val="11"/>
        <w:rPr>
          <w:rFonts w:ascii="宋体" w:hAnsi="宋体" w:cs="宋体"/>
        </w:rPr>
      </w:pPr>
      <w:r>
        <w:rPr>
          <w:rFonts w:hint="eastAsia" w:cs="宋体"/>
        </w:rPr>
        <w:br w:type="page"/>
      </w:r>
      <w:r>
        <w:rPr>
          <w:rFonts w:hint="eastAsia" w:ascii="宋体" w:hAnsi="宋体" w:cs="宋体"/>
        </w:rPr>
        <w:t>第四章  采购项目内容及要求</w:t>
      </w:r>
      <w:bookmarkEnd w:id="27"/>
      <w:bookmarkEnd w:id="28"/>
      <w:bookmarkEnd w:id="29"/>
      <w:bookmarkEnd w:id="30"/>
      <w:bookmarkEnd w:id="31"/>
    </w:p>
    <w:p>
      <w:pPr>
        <w:pStyle w:val="11"/>
        <w:ind w:firstLine="720" w:firstLineChars="300"/>
        <w:jc w:val="left"/>
        <w:rPr>
          <w:rFonts w:ascii="宋体" w:cs="宋体"/>
          <w:b w:val="0"/>
          <w:bCs w:val="0"/>
          <w:sz w:val="24"/>
          <w:lang w:val="zh-CN"/>
        </w:rPr>
      </w:pPr>
      <w:r>
        <w:rPr>
          <w:rFonts w:hint="eastAsia" w:ascii="宋体" w:hAnsi="宋体" w:cs="宋体"/>
          <w:b w:val="0"/>
          <w:bCs w:val="0"/>
          <w:sz w:val="24"/>
          <w:szCs w:val="20"/>
          <w:lang w:val="zh-CN"/>
        </w:rPr>
        <w:t>根据黄石市中心医院的需求，</w:t>
      </w:r>
      <w:r>
        <w:rPr>
          <w:rFonts w:hint="eastAsia" w:ascii="宋体" w:hAnsi="宋体" w:cs="宋体"/>
          <w:b w:val="0"/>
          <w:bCs w:val="0"/>
          <w:sz w:val="24"/>
          <w:lang w:val="en-US" w:eastAsia="zh-CN"/>
        </w:rPr>
        <w:t>黄石市中心医院全国抗肿瘤药物临床应用监测上报采购项目</w:t>
      </w:r>
      <w:r>
        <w:rPr>
          <w:rFonts w:hint="eastAsia" w:ascii="宋体" w:hAnsi="宋体" w:cs="宋体"/>
          <w:b w:val="0"/>
          <w:bCs w:val="0"/>
          <w:sz w:val="24"/>
          <w:lang w:val="zh-CN"/>
        </w:rPr>
        <w:t>以竞争性</w:t>
      </w:r>
      <w:r>
        <w:rPr>
          <w:rFonts w:hint="eastAsia" w:ascii="宋体" w:hAnsi="宋体" w:cs="宋体"/>
          <w:b w:val="0"/>
          <w:bCs w:val="0"/>
          <w:sz w:val="24"/>
        </w:rPr>
        <w:t>谈判</w:t>
      </w:r>
      <w:r>
        <w:rPr>
          <w:rFonts w:hint="eastAsia" w:ascii="宋体" w:hAnsi="宋体" w:cs="宋体"/>
          <w:b w:val="0"/>
          <w:bCs w:val="0"/>
          <w:sz w:val="24"/>
          <w:lang w:val="zh-CN"/>
        </w:rPr>
        <w:t>方式进行采购</w:t>
      </w:r>
      <w:r>
        <w:rPr>
          <w:rFonts w:hint="eastAsia" w:ascii="宋体" w:hAnsi="宋体" w:cs="宋体"/>
          <w:b w:val="0"/>
          <w:bCs w:val="0"/>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项目名称：</w:t>
      </w:r>
      <w:r>
        <w:rPr>
          <w:rFonts w:hint="eastAsia" w:ascii="宋体" w:hAnsi="宋体" w:cs="宋体"/>
          <w:sz w:val="24"/>
          <w:lang w:val="en-US" w:eastAsia="zh-CN"/>
        </w:rPr>
        <w:t>黄石市中心医院全国抗肿瘤药物临床应用监测上报采购项目</w:t>
      </w:r>
    </w:p>
    <w:p>
      <w:pPr>
        <w:spacing w:line="420" w:lineRule="exact"/>
        <w:ind w:firstLine="480" w:firstLineChars="200"/>
        <w:rPr>
          <w:rFonts w:ascii="宋体" w:hAnsi="宋体" w:cs="宋体"/>
          <w:sz w:val="24"/>
        </w:rPr>
      </w:pPr>
      <w:r>
        <w:rPr>
          <w:rFonts w:hint="eastAsia" w:ascii="宋体" w:hAnsi="宋体" w:cs="宋体"/>
          <w:sz w:val="24"/>
        </w:rPr>
        <w:t>2.采购方式：竞争性谈判</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7.5</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4"/>
          <w:highlight w:val="yellow"/>
          <w:lang w:val="en-US" w:eastAsia="zh-CN"/>
        </w:rPr>
        <w:t>质保期</w:t>
      </w:r>
      <w:r>
        <w:rPr>
          <w:rFonts w:hint="eastAsia" w:ascii="宋体" w:hAnsi="宋体" w:cs="宋体"/>
          <w:sz w:val="24"/>
          <w:highlight w:val="yellow"/>
        </w:rPr>
        <w:t>：</w:t>
      </w:r>
      <w:r>
        <w:rPr>
          <w:rFonts w:hint="eastAsia" w:ascii="宋体" w:hAnsi="宋体" w:cs="仿宋_GB2312"/>
          <w:sz w:val="24"/>
          <w:highlight w:val="yellow"/>
          <w:lang w:val="en-US" w:eastAsia="zh-CN"/>
        </w:rPr>
        <w:t>1年</w:t>
      </w:r>
      <w:r>
        <w:rPr>
          <w:rFonts w:hint="eastAsia" w:ascii="宋体" w:hAnsi="宋体" w:cs="仿宋_GB2312"/>
          <w:snapToGrid w:val="0"/>
          <w:sz w:val="24"/>
          <w:highlight w:val="yellow"/>
          <w:lang w:val="zh-CN"/>
        </w:rPr>
        <w:t>。</w:t>
      </w:r>
    </w:p>
    <w:p>
      <w:pPr>
        <w:spacing w:line="420" w:lineRule="exact"/>
        <w:ind w:firstLine="480" w:firstLineChars="200"/>
        <w:rPr>
          <w:rFonts w:ascii="宋体" w:hAnsi="宋体" w:cs="宋体"/>
          <w:sz w:val="24"/>
          <w:szCs w:val="24"/>
        </w:rPr>
      </w:pPr>
      <w:r>
        <w:rPr>
          <w:rFonts w:hint="eastAsia" w:ascii="宋体" w:hAnsi="宋体" w:cs="宋体"/>
          <w:sz w:val="24"/>
        </w:rPr>
        <w:t>5.</w:t>
      </w:r>
      <w:r>
        <w:rPr>
          <w:rFonts w:hint="eastAsia" w:ascii="宋体" w:hAnsi="宋体" w:cs="仿宋_GB2312"/>
          <w:sz w:val="24"/>
        </w:rPr>
        <w:t>采购内容:</w:t>
      </w:r>
      <w:r>
        <w:rPr>
          <w:rFonts w:hint="eastAsia" w:ascii="宋体" w:hAnsi="宋体" w:cs="宋体"/>
          <w:sz w:val="24"/>
          <w:lang w:val="en-US" w:eastAsia="zh-CN"/>
        </w:rPr>
        <w:t>黄石市中心医院全国抗肿瘤药物临床应用监测上报采购项目</w:t>
      </w:r>
    </w:p>
    <w:p>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质量要求：符合国家管理、相关部门规定</w:t>
      </w:r>
    </w:p>
    <w:p>
      <w:pPr>
        <w:rPr>
          <w:rFonts w:hint="eastAsia"/>
          <w:lang w:val="en-US" w:eastAsia="zh-CN"/>
        </w:rPr>
      </w:pPr>
      <w:r>
        <w:rPr>
          <w:rFonts w:hint="eastAsia"/>
          <w:lang w:val="en-US" w:eastAsia="zh-CN"/>
        </w:rPr>
        <w:t>二、技术参数：</w:t>
      </w:r>
    </w:p>
    <w:p>
      <w:pPr>
        <w:pStyle w:val="14"/>
      </w:pPr>
      <w:bookmarkStart w:id="133" w:name="_Toc16472"/>
      <w:r>
        <w:rPr>
          <w:rFonts w:hint="eastAsia"/>
        </w:rPr>
        <w:t>上报数据范围</w:t>
      </w:r>
      <w:bookmarkEnd w:id="133"/>
    </w:p>
    <w:p>
      <w:pPr>
        <w:pStyle w:val="15"/>
        <w:numPr>
          <w:ilvl w:val="2"/>
          <w:numId w:val="2"/>
        </w:numPr>
      </w:pPr>
      <w:bookmarkStart w:id="134" w:name="_Toc13"/>
      <w:r>
        <w:rPr>
          <w:rFonts w:hint="eastAsia"/>
        </w:rPr>
        <w:t>上报时间范围</w:t>
      </w:r>
      <w:bookmarkEnd w:id="134"/>
    </w:p>
    <w:p>
      <w:pPr>
        <w:pStyle w:val="9"/>
        <w:spacing w:line="400" w:lineRule="exact"/>
        <w:ind w:left="284" w:firstLine="420" w:firstLineChars="200"/>
        <w:rPr>
          <w:rFonts w:ascii="微软雅黑 Light" w:hAnsi="微软雅黑 Light" w:eastAsia="微软雅黑 Light" w:cs="Times New Roman"/>
          <w:kern w:val="2"/>
          <w:sz w:val="21"/>
          <w:szCs w:val="21"/>
        </w:rPr>
      </w:pPr>
      <w:r>
        <w:rPr>
          <w:rFonts w:hint="eastAsia" w:ascii="微软雅黑 Light" w:hAnsi="微软雅黑 Light" w:eastAsia="微软雅黑 Light" w:cs="Times New Roman"/>
          <w:kern w:val="2"/>
          <w:sz w:val="21"/>
          <w:szCs w:val="21"/>
        </w:rPr>
        <w:t>医院需要每月上报门诊患者、住院患者的医疗数据。</w:t>
      </w:r>
    </w:p>
    <w:p>
      <w:pPr>
        <w:pStyle w:val="9"/>
        <w:numPr>
          <w:ilvl w:val="0"/>
          <w:numId w:val="3"/>
        </w:numPr>
        <w:spacing w:line="400" w:lineRule="exact"/>
        <w:rPr>
          <w:rFonts w:ascii="微软雅黑 Light" w:hAnsi="微软雅黑 Light" w:eastAsia="微软雅黑 Light" w:cs="Times New Roman"/>
          <w:kern w:val="2"/>
          <w:sz w:val="21"/>
          <w:szCs w:val="21"/>
        </w:rPr>
      </w:pPr>
      <w:r>
        <w:rPr>
          <w:rFonts w:hint="eastAsia" w:ascii="微软雅黑 Light" w:hAnsi="微软雅黑 Light" w:eastAsia="微软雅黑 Light" w:cs="Times New Roman"/>
          <w:kern w:val="2"/>
          <w:sz w:val="21"/>
          <w:szCs w:val="21"/>
        </w:rPr>
        <w:t>门（急）诊患者数据按就诊时间进行筛选后上报。</w:t>
      </w:r>
    </w:p>
    <w:p>
      <w:pPr>
        <w:pStyle w:val="9"/>
        <w:numPr>
          <w:ilvl w:val="0"/>
          <w:numId w:val="3"/>
        </w:numPr>
        <w:spacing w:line="400" w:lineRule="exact"/>
        <w:rPr>
          <w:rFonts w:ascii="微软雅黑 Light" w:hAnsi="微软雅黑 Light" w:eastAsia="微软雅黑 Light" w:cs="Times New Roman"/>
          <w:kern w:val="2"/>
          <w:sz w:val="21"/>
          <w:szCs w:val="21"/>
        </w:rPr>
      </w:pPr>
      <w:r>
        <w:rPr>
          <w:rFonts w:hint="eastAsia" w:ascii="微软雅黑 Light" w:hAnsi="微软雅黑 Light" w:eastAsia="微软雅黑 Light" w:cs="Times New Roman"/>
          <w:kern w:val="2"/>
          <w:sz w:val="21"/>
          <w:szCs w:val="21"/>
        </w:rPr>
        <w:t>住院患者数据包含出院患者和在院患者两部分。</w:t>
      </w:r>
    </w:p>
    <w:p>
      <w:pPr>
        <w:pStyle w:val="9"/>
        <w:numPr>
          <w:ilvl w:val="0"/>
          <w:numId w:val="4"/>
        </w:numPr>
        <w:spacing w:line="400" w:lineRule="exact"/>
        <w:rPr>
          <w:rFonts w:ascii="微软雅黑 Light" w:hAnsi="微软雅黑 Light" w:eastAsia="微软雅黑 Light" w:cs="Times New Roman"/>
          <w:kern w:val="2"/>
          <w:sz w:val="21"/>
          <w:szCs w:val="21"/>
        </w:rPr>
      </w:pPr>
      <w:r>
        <w:rPr>
          <w:rFonts w:hint="eastAsia" w:ascii="微软雅黑 Light" w:hAnsi="微软雅黑 Light" w:eastAsia="微软雅黑 Light" w:cs="Times New Roman"/>
          <w:kern w:val="2"/>
          <w:sz w:val="21"/>
          <w:szCs w:val="21"/>
        </w:rPr>
        <w:t>出院患者数据：按出院时间进行筛选后上报。</w:t>
      </w:r>
    </w:p>
    <w:p>
      <w:pPr>
        <w:pStyle w:val="9"/>
        <w:numPr>
          <w:ilvl w:val="0"/>
          <w:numId w:val="4"/>
        </w:numPr>
        <w:spacing w:line="400" w:lineRule="exact"/>
        <w:rPr>
          <w:rFonts w:ascii="微软雅黑 Light" w:hAnsi="微软雅黑 Light" w:eastAsia="微软雅黑 Light" w:cs="Times New Roman"/>
          <w:kern w:val="2"/>
          <w:sz w:val="21"/>
          <w:szCs w:val="21"/>
        </w:rPr>
      </w:pPr>
      <w:r>
        <w:rPr>
          <w:rFonts w:hint="eastAsia" w:ascii="微软雅黑 Light" w:hAnsi="微软雅黑 Light" w:eastAsia="微软雅黑 Light" w:cs="Times New Roman"/>
          <w:kern w:val="2"/>
          <w:sz w:val="21"/>
          <w:szCs w:val="21"/>
        </w:rPr>
        <w:t>在院患者数据：当前未出院患者数据。可在监测网协助下进行上报。</w:t>
      </w:r>
    </w:p>
    <w:p>
      <w:pPr>
        <w:pStyle w:val="15"/>
        <w:numPr>
          <w:ilvl w:val="2"/>
          <w:numId w:val="2"/>
        </w:numPr>
      </w:pPr>
      <w:bookmarkStart w:id="135" w:name="_Toc27795"/>
      <w:r>
        <w:rPr>
          <w:rFonts w:hint="eastAsia"/>
        </w:rPr>
        <w:t>上报患者范围</w:t>
      </w:r>
      <w:bookmarkEnd w:id="135"/>
    </w:p>
    <w:p>
      <w:pPr>
        <w:pStyle w:val="9"/>
        <w:spacing w:line="400" w:lineRule="exact"/>
        <w:ind w:left="284" w:firstLine="420" w:firstLineChars="200"/>
        <w:rPr>
          <w:rFonts w:ascii="微软雅黑 Light" w:hAnsi="微软雅黑 Light" w:eastAsia="微软雅黑 Light" w:cs="Times New Roman"/>
          <w:kern w:val="2"/>
          <w:sz w:val="21"/>
          <w:szCs w:val="21"/>
        </w:rPr>
      </w:pPr>
      <w:r>
        <w:rPr>
          <w:rFonts w:hint="eastAsia" w:ascii="微软雅黑 Light" w:hAnsi="微软雅黑 Light" w:eastAsia="微软雅黑 Light" w:cs="Times New Roman"/>
          <w:kern w:val="2"/>
          <w:sz w:val="21"/>
          <w:szCs w:val="21"/>
        </w:rPr>
        <w:t>肿瘤专科医院需要上报全部患者数据，综合医院需要根据患者诊断判断是否属于上报范围。综合医院通过门（急）诊诊断和住院诊断中的诊断信息筛选出恶性肿瘤患者相关数据进行上报，具体筛选方案如下：</w:t>
      </w:r>
    </w:p>
    <w:p>
      <w:pPr>
        <w:pStyle w:val="9"/>
        <w:numPr>
          <w:ilvl w:val="0"/>
          <w:numId w:val="5"/>
        </w:numPr>
        <w:spacing w:line="400" w:lineRule="exact"/>
        <w:rPr>
          <w:rFonts w:ascii="微软雅黑 Light" w:hAnsi="微软雅黑 Light" w:eastAsia="微软雅黑 Light" w:cs="Times New Roman"/>
          <w:kern w:val="2"/>
          <w:sz w:val="21"/>
          <w:szCs w:val="21"/>
        </w:rPr>
      </w:pPr>
      <w:r>
        <w:rPr>
          <w:rFonts w:ascii="微软雅黑 Light" w:hAnsi="微软雅黑 Light" w:eastAsia="微软雅黑 Light" w:cs="Times New Roman"/>
          <w:kern w:val="2"/>
          <w:sz w:val="21"/>
          <w:szCs w:val="21"/>
        </w:rPr>
        <w:t>若诊断用ICD-10编码：取以 C 开头（恶性肿瘤）、D45-D47开头、Z51 开头（恶性肿瘤其他医疗服务）、Z85 开头（恶性肿瘤史）的诊断</w:t>
      </w:r>
      <w:r>
        <w:rPr>
          <w:rFonts w:hint="eastAsia" w:ascii="微软雅黑 Light" w:hAnsi="微软雅黑 Light" w:eastAsia="微软雅黑 Light" w:cs="Times New Roman"/>
          <w:kern w:val="2"/>
          <w:sz w:val="21"/>
          <w:szCs w:val="21"/>
        </w:rPr>
        <w:t>。</w:t>
      </w:r>
    </w:p>
    <w:p>
      <w:pPr>
        <w:pStyle w:val="9"/>
        <w:numPr>
          <w:ilvl w:val="0"/>
          <w:numId w:val="5"/>
        </w:numPr>
        <w:spacing w:line="400" w:lineRule="exact"/>
        <w:rPr>
          <w:rFonts w:ascii="微软雅黑 Light" w:hAnsi="微软雅黑 Light" w:eastAsia="微软雅黑 Light" w:cs="Times New Roman"/>
          <w:kern w:val="2"/>
          <w:sz w:val="21"/>
          <w:szCs w:val="21"/>
        </w:rPr>
      </w:pPr>
      <w:r>
        <w:rPr>
          <w:rFonts w:ascii="微软雅黑 Light" w:hAnsi="微软雅黑 Light" w:eastAsia="微软雅黑 Light" w:cs="Times New Roman"/>
          <w:kern w:val="2"/>
          <w:sz w:val="21"/>
          <w:szCs w:val="21"/>
        </w:rPr>
        <w:t>若诊断用ICD-O-3编码：则取肿瘤行为学编码（即：组织病理学编码第5位数字）为3、6、9的诊断</w:t>
      </w:r>
      <w:r>
        <w:rPr>
          <w:rFonts w:hint="eastAsia" w:ascii="微软雅黑 Light" w:hAnsi="微软雅黑 Light" w:eastAsia="微软雅黑 Light" w:cs="Times New Roman"/>
          <w:kern w:val="2"/>
          <w:sz w:val="21"/>
          <w:szCs w:val="21"/>
        </w:rPr>
        <w:t>。</w:t>
      </w:r>
    </w:p>
    <w:p>
      <w:pPr>
        <w:pStyle w:val="9"/>
        <w:numPr>
          <w:ilvl w:val="0"/>
          <w:numId w:val="5"/>
        </w:numPr>
        <w:spacing w:line="400" w:lineRule="exact"/>
        <w:rPr>
          <w:rFonts w:ascii="微软雅黑 Light" w:hAnsi="微软雅黑 Light" w:eastAsia="微软雅黑 Light" w:cs="Times New Roman"/>
          <w:kern w:val="2"/>
          <w:sz w:val="21"/>
          <w:szCs w:val="21"/>
        </w:rPr>
      </w:pPr>
      <w:r>
        <w:rPr>
          <w:rFonts w:ascii="微软雅黑 Light" w:hAnsi="微软雅黑 Light" w:eastAsia="微软雅黑 Light" w:cs="Times New Roman"/>
          <w:kern w:val="2"/>
          <w:sz w:val="21"/>
          <w:szCs w:val="21"/>
        </w:rPr>
        <w:t>若只有诊断名称无编码，则取诊断名称中包含以下任意一种的诊断：“癌”、“瘤”（除外“脂肪瘤”、“血管瘤”、“淋巴管瘤”、“良性肿瘤”）、“白血病”、"霍奇金"、“转移”、“骨髓抑制”、“放疗”、“放射”、“化疗”、“化学治疗”</w:t>
      </w:r>
      <w:r>
        <w:rPr>
          <w:rFonts w:hint="eastAsia" w:ascii="微软雅黑 Light" w:hAnsi="微软雅黑 Light" w:eastAsia="微软雅黑 Light" w:cs="Times New Roman"/>
          <w:kern w:val="2"/>
          <w:sz w:val="21"/>
          <w:szCs w:val="21"/>
        </w:rPr>
        <w:t>。</w:t>
      </w:r>
    </w:p>
    <w:p>
      <w:pPr>
        <w:pStyle w:val="15"/>
        <w:numPr>
          <w:ilvl w:val="2"/>
          <w:numId w:val="2"/>
        </w:numPr>
      </w:pPr>
      <w:bookmarkStart w:id="136" w:name="_Toc2685"/>
      <w:r>
        <w:rPr>
          <w:rFonts w:hint="eastAsia"/>
        </w:rPr>
        <w:t>上报内容范围</w:t>
      </w:r>
      <w:bookmarkEnd w:id="136"/>
    </w:p>
    <w:p>
      <w:pPr>
        <w:pStyle w:val="9"/>
        <w:spacing w:line="400" w:lineRule="exact"/>
        <w:ind w:left="284" w:firstLine="420" w:firstLineChars="200"/>
        <w:rPr>
          <w:rFonts w:ascii="微软雅黑 Light" w:hAnsi="微软雅黑 Light" w:eastAsia="微软雅黑 Light" w:cs="Times New Roman"/>
          <w:kern w:val="2"/>
          <w:sz w:val="21"/>
          <w:szCs w:val="21"/>
        </w:rPr>
      </w:pPr>
      <w:r>
        <w:rPr>
          <w:rFonts w:hint="eastAsia" w:ascii="微软雅黑 Light" w:hAnsi="微软雅黑 Light" w:eastAsia="微软雅黑 Light" w:cs="Times New Roman"/>
          <w:kern w:val="2"/>
          <w:sz w:val="21"/>
          <w:szCs w:val="21"/>
        </w:rPr>
        <w:t>上报数据范围：患者的门诊、住院、诊断、治疗、检查、检验、随访等相关数据。</w:t>
      </w:r>
    </w:p>
    <w:tbl>
      <w:tblPr>
        <w:tblStyle w:val="12"/>
        <w:tblW w:w="96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708"/>
        <w:gridCol w:w="993"/>
        <w:gridCol w:w="567"/>
        <w:gridCol w:w="1275"/>
        <w:gridCol w:w="1134"/>
        <w:gridCol w:w="3110"/>
        <w:gridCol w:w="18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80" w:hRule="atLeast"/>
          <w:jc w:val="center"/>
        </w:trPr>
        <w:tc>
          <w:tcPr>
            <w:tcW w:w="708" w:type="dxa"/>
            <w:shd w:val="clear" w:color="auto" w:fill="9BC2E6"/>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表单分类编码</w:t>
            </w:r>
          </w:p>
        </w:tc>
        <w:tc>
          <w:tcPr>
            <w:tcW w:w="993" w:type="dxa"/>
            <w:shd w:val="clear" w:color="auto" w:fill="9BC2E6"/>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表单分类名称</w:t>
            </w:r>
          </w:p>
        </w:tc>
        <w:tc>
          <w:tcPr>
            <w:tcW w:w="567" w:type="dxa"/>
            <w:shd w:val="clear" w:color="auto" w:fill="9BC2E6"/>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表单编码</w:t>
            </w:r>
          </w:p>
        </w:tc>
        <w:tc>
          <w:tcPr>
            <w:tcW w:w="1275" w:type="dxa"/>
            <w:shd w:val="clear" w:color="auto" w:fill="9BC2E6"/>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表单中文名</w:t>
            </w:r>
          </w:p>
        </w:tc>
        <w:tc>
          <w:tcPr>
            <w:tcW w:w="1134" w:type="dxa"/>
            <w:shd w:val="clear" w:color="auto" w:fill="9BC2E6"/>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表单英文名</w:t>
            </w:r>
          </w:p>
        </w:tc>
        <w:tc>
          <w:tcPr>
            <w:tcW w:w="3110" w:type="dxa"/>
            <w:shd w:val="clear" w:color="auto" w:fill="9BC2E6"/>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定义</w:t>
            </w:r>
          </w:p>
        </w:tc>
        <w:tc>
          <w:tcPr>
            <w:tcW w:w="1899" w:type="dxa"/>
            <w:shd w:val="clear" w:color="auto" w:fill="9BC2E6"/>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上报范围要求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restart"/>
            <w:shd w:val="clear" w:color="auto" w:fill="FFFFFF"/>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B01</w:t>
            </w:r>
          </w:p>
        </w:tc>
        <w:tc>
          <w:tcPr>
            <w:tcW w:w="993" w:type="dxa"/>
            <w:vMerge w:val="restart"/>
            <w:shd w:val="clear" w:color="auto" w:fill="FFFFFF"/>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抗肿瘤药物情况</w:t>
            </w:r>
          </w:p>
        </w:tc>
        <w:tc>
          <w:tcPr>
            <w:tcW w:w="567" w:type="dxa"/>
            <w:shd w:val="clear" w:color="auto" w:fill="FFFFFF"/>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B01-1</w:t>
            </w:r>
          </w:p>
        </w:tc>
        <w:tc>
          <w:tcPr>
            <w:tcW w:w="1275" w:type="dxa"/>
            <w:shd w:val="clear" w:color="auto" w:fill="FFFFFF"/>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抗肿瘤药物采购记录</w:t>
            </w:r>
          </w:p>
        </w:tc>
        <w:tc>
          <w:tcPr>
            <w:tcW w:w="1134" w:type="dxa"/>
            <w:shd w:val="clear" w:color="auto" w:fill="FFFFFF"/>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drug_purchase</w:t>
            </w:r>
          </w:p>
        </w:tc>
        <w:tc>
          <w:tcPr>
            <w:tcW w:w="3110" w:type="dxa"/>
            <w:shd w:val="clear" w:color="auto" w:fill="FFFFFF"/>
            <w:noWrap w:val="0"/>
            <w:vAlign w:val="center"/>
          </w:tcPr>
          <w:p>
            <w:pPr>
              <w:widowControl/>
              <w:jc w:val="left"/>
              <w:textAlignment w:val="center"/>
              <w:rPr>
                <w:rFonts w:hint="eastAsia" w:ascii="微软雅黑 Light" w:hAnsi="微软雅黑 Light" w:eastAsia="微软雅黑 Light" w:cs="微软雅黑 Light"/>
                <w:color w:val="000000"/>
                <w:kern w:val="0"/>
                <w:sz w:val="18"/>
                <w:szCs w:val="18"/>
                <w:lang w:eastAsia="zh-CN" w:bidi="ar"/>
              </w:rPr>
            </w:pPr>
            <w:r>
              <w:rPr>
                <w:rFonts w:hint="eastAsia" w:ascii="微软雅黑 Light" w:hAnsi="微软雅黑 Light" w:eastAsia="微软雅黑 Light" w:cs="微软雅黑 Light"/>
                <w:color w:val="000000"/>
                <w:kern w:val="0"/>
                <w:sz w:val="18"/>
                <w:szCs w:val="18"/>
                <w:lang w:bidi="ar"/>
              </w:rPr>
              <w:t>肿瘤医院：全院药品采购入库记录</w:t>
            </w:r>
          </w:p>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综合医院：肿瘤患者治疗所需药品采购入库记录，可参考抗肿瘤药物清单。</w:t>
            </w:r>
          </w:p>
        </w:tc>
        <w:tc>
          <w:tcPr>
            <w:tcW w:w="1899" w:type="dxa"/>
            <w:shd w:val="clear" w:color="auto" w:fill="FFFFFF"/>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采购时间在数据上报周期内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continue"/>
            <w:shd w:val="clear" w:color="auto" w:fill="FFFFFF"/>
            <w:noWrap w:val="0"/>
            <w:vAlign w:val="center"/>
          </w:tcPr>
          <w:p>
            <w:pPr>
              <w:widowControl/>
              <w:jc w:val="center"/>
              <w:rPr>
                <w:rFonts w:ascii="微软雅黑 Light" w:hAnsi="微软雅黑 Light" w:eastAsia="微软雅黑 Light" w:cs="微软雅黑 Light"/>
                <w:kern w:val="0"/>
                <w:sz w:val="18"/>
                <w:szCs w:val="18"/>
              </w:rPr>
            </w:pPr>
          </w:p>
        </w:tc>
        <w:tc>
          <w:tcPr>
            <w:tcW w:w="993" w:type="dxa"/>
            <w:vMerge w:val="continue"/>
            <w:shd w:val="clear" w:color="auto" w:fill="FFFFFF"/>
            <w:noWrap w:val="0"/>
            <w:vAlign w:val="center"/>
          </w:tcPr>
          <w:p>
            <w:pPr>
              <w:widowControl/>
              <w:jc w:val="center"/>
              <w:rPr>
                <w:rFonts w:ascii="微软雅黑 Light" w:hAnsi="微软雅黑 Light" w:eastAsia="微软雅黑 Light" w:cs="微软雅黑 Light"/>
                <w:kern w:val="0"/>
                <w:sz w:val="18"/>
                <w:szCs w:val="18"/>
              </w:rPr>
            </w:pPr>
          </w:p>
        </w:tc>
        <w:tc>
          <w:tcPr>
            <w:tcW w:w="567" w:type="dxa"/>
            <w:shd w:val="clear" w:color="auto" w:fill="FFFFFF"/>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B01-2</w:t>
            </w:r>
          </w:p>
        </w:tc>
        <w:tc>
          <w:tcPr>
            <w:tcW w:w="1275" w:type="dxa"/>
            <w:shd w:val="clear" w:color="auto" w:fill="FFFFFF"/>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抗肿瘤药物使用记录</w:t>
            </w:r>
          </w:p>
        </w:tc>
        <w:tc>
          <w:tcPr>
            <w:tcW w:w="1134" w:type="dxa"/>
            <w:shd w:val="clear" w:color="auto" w:fill="FFFFFF"/>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drug_use</w:t>
            </w:r>
          </w:p>
        </w:tc>
        <w:tc>
          <w:tcPr>
            <w:tcW w:w="3110" w:type="dxa"/>
            <w:shd w:val="clear" w:color="auto" w:fill="FFFFFF"/>
            <w:noWrap w:val="0"/>
            <w:vAlign w:val="center"/>
          </w:tcPr>
          <w:p>
            <w:pPr>
              <w:widowControl/>
              <w:jc w:val="left"/>
              <w:textAlignment w:val="center"/>
              <w:rPr>
                <w:rFonts w:hint="eastAsia" w:ascii="微软雅黑 Light" w:hAnsi="微软雅黑 Light" w:eastAsia="微软雅黑 Light" w:cs="微软雅黑 Light"/>
                <w:color w:val="000000"/>
                <w:kern w:val="0"/>
                <w:sz w:val="18"/>
                <w:szCs w:val="18"/>
                <w:lang w:eastAsia="zh-CN" w:bidi="ar"/>
              </w:rPr>
            </w:pPr>
            <w:r>
              <w:rPr>
                <w:rFonts w:hint="eastAsia" w:ascii="微软雅黑 Light" w:hAnsi="微软雅黑 Light" w:eastAsia="微软雅黑 Light" w:cs="微软雅黑 Light"/>
                <w:color w:val="000000"/>
                <w:kern w:val="0"/>
                <w:sz w:val="18"/>
                <w:szCs w:val="18"/>
                <w:lang w:bidi="ar"/>
              </w:rPr>
              <w:t>肿瘤医院：全院本周期药品收费记录</w:t>
            </w:r>
          </w:p>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综合医院：肿瘤患者本周期药品收费记录，如果筛选困难，可参考抗肿瘤药物清单。</w:t>
            </w:r>
          </w:p>
        </w:tc>
        <w:tc>
          <w:tcPr>
            <w:tcW w:w="1899" w:type="dxa"/>
            <w:shd w:val="clear" w:color="auto" w:fill="FFFFFF"/>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收费时间在数据上报周期内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restart"/>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B02</w:t>
            </w:r>
          </w:p>
        </w:tc>
        <w:tc>
          <w:tcPr>
            <w:tcW w:w="993" w:type="dxa"/>
            <w:vMerge w:val="restart"/>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患者信息</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B02-1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患者就诊基本信息表</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patient_info</w:t>
            </w:r>
          </w:p>
        </w:tc>
        <w:tc>
          <w:tcPr>
            <w:tcW w:w="3110" w:type="dxa"/>
            <w:noWrap w:val="0"/>
            <w:vAlign w:val="center"/>
          </w:tcPr>
          <w:p>
            <w:pPr>
              <w:rPr>
                <w:rFonts w:hint="eastAsia" w:ascii="微软雅黑 Light" w:hAnsi="微软雅黑 Light" w:eastAsia="微软雅黑 Light" w:cs="微软雅黑 Light"/>
                <w:kern w:val="0"/>
                <w:sz w:val="18"/>
                <w:szCs w:val="18"/>
                <w:lang w:eastAsia="zh-CN"/>
              </w:rPr>
            </w:pPr>
            <w:r>
              <w:rPr>
                <w:rFonts w:hint="eastAsia" w:ascii="微软雅黑 Light" w:hAnsi="微软雅黑 Light" w:eastAsia="微软雅黑 Light" w:cs="微软雅黑 Light"/>
                <w:kern w:val="0"/>
                <w:sz w:val="18"/>
                <w:szCs w:val="18"/>
              </w:rPr>
              <w:t>肿瘤医院：所有患者基本信息</w:t>
            </w:r>
          </w:p>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综合医院：按患者筛选规则（参考上报说明书）进行筛选</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03-1</w:t>
            </w:r>
            <w:r>
              <w:rPr>
                <w:rFonts w:hint="eastAsia" w:ascii="微软雅黑 Light" w:hAnsi="微软雅黑 Light" w:eastAsia="微软雅黑 Light" w:cs="微软雅黑 Light"/>
                <w:color w:val="000000"/>
                <w:kern w:val="0"/>
                <w:sz w:val="18"/>
                <w:szCs w:val="18"/>
                <w:lang w:bidi="ar"/>
              </w:rPr>
              <w:t>住院患者信息表+</w:t>
            </w:r>
            <w:r>
              <w:rPr>
                <w:rFonts w:ascii="微软雅黑 Light" w:hAnsi="微软雅黑 Light" w:eastAsia="微软雅黑 Light" w:cs="微软雅黑 Light"/>
                <w:color w:val="000000"/>
                <w:kern w:val="0"/>
                <w:sz w:val="18"/>
                <w:szCs w:val="18"/>
                <w:lang w:bidi="ar"/>
              </w:rPr>
              <w:t>B12-1</w:t>
            </w:r>
            <w:r>
              <w:rPr>
                <w:rFonts w:hint="eastAsia" w:ascii="微软雅黑 Light" w:hAnsi="微软雅黑 Light" w:eastAsia="微软雅黑 Light" w:cs="微软雅黑 Light"/>
                <w:color w:val="000000"/>
                <w:kern w:val="0"/>
                <w:sz w:val="18"/>
                <w:szCs w:val="18"/>
                <w:lang w:bidi="ar"/>
              </w:rPr>
              <w:t>门诊患者信息表的患者合并上报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continue"/>
            <w:noWrap w:val="0"/>
            <w:vAlign w:val="center"/>
          </w:tcPr>
          <w:p>
            <w:pPr>
              <w:widowControl/>
              <w:jc w:val="center"/>
              <w:rPr>
                <w:rFonts w:ascii="微软雅黑 Light" w:hAnsi="微软雅黑 Light" w:eastAsia="微软雅黑 Light" w:cs="微软雅黑 Light"/>
                <w:kern w:val="0"/>
                <w:sz w:val="18"/>
                <w:szCs w:val="18"/>
              </w:rPr>
            </w:pPr>
          </w:p>
        </w:tc>
        <w:tc>
          <w:tcPr>
            <w:tcW w:w="993" w:type="dxa"/>
            <w:vMerge w:val="continue"/>
            <w:noWrap w:val="0"/>
            <w:vAlign w:val="center"/>
          </w:tcPr>
          <w:p>
            <w:pPr>
              <w:widowControl/>
              <w:jc w:val="center"/>
              <w:rPr>
                <w:rFonts w:ascii="微软雅黑 Light" w:hAnsi="微软雅黑 Light" w:eastAsia="微软雅黑 Light" w:cs="微软雅黑 Light"/>
                <w:kern w:val="0"/>
                <w:sz w:val="18"/>
                <w:szCs w:val="18"/>
              </w:rPr>
            </w:pP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B02-2</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患者药物不良反应记录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adr_info</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患者就诊期间的药物不良反应记录</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不良反应事件发生时间在数据上报周期内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continue"/>
            <w:noWrap w:val="0"/>
            <w:vAlign w:val="center"/>
          </w:tcPr>
          <w:p>
            <w:pPr>
              <w:widowControl/>
              <w:jc w:val="center"/>
              <w:rPr>
                <w:rFonts w:ascii="微软雅黑 Light" w:hAnsi="微软雅黑 Light" w:eastAsia="微软雅黑 Light" w:cs="微软雅黑 Light"/>
                <w:kern w:val="0"/>
                <w:sz w:val="18"/>
                <w:szCs w:val="18"/>
              </w:rPr>
            </w:pPr>
          </w:p>
        </w:tc>
        <w:tc>
          <w:tcPr>
            <w:tcW w:w="993" w:type="dxa"/>
            <w:vMerge w:val="continue"/>
            <w:noWrap w:val="0"/>
            <w:vAlign w:val="center"/>
          </w:tcPr>
          <w:p>
            <w:pPr>
              <w:widowControl/>
              <w:jc w:val="center"/>
              <w:rPr>
                <w:rFonts w:ascii="微软雅黑 Light" w:hAnsi="微软雅黑 Light" w:eastAsia="微软雅黑 Light" w:cs="微软雅黑 Light"/>
                <w:kern w:val="0"/>
                <w:sz w:val="18"/>
                <w:szCs w:val="18"/>
              </w:rPr>
            </w:pP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B02-3</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患者诊断记录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diag_info</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患者就诊期间的诊断记录</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02-1</w:t>
            </w:r>
            <w:r>
              <w:rPr>
                <w:rFonts w:hint="eastAsia" w:ascii="微软雅黑 Light" w:hAnsi="微软雅黑 Light" w:eastAsia="微软雅黑 Light" w:cs="微软雅黑 Light"/>
                <w:color w:val="000000"/>
                <w:kern w:val="0"/>
                <w:sz w:val="18"/>
                <w:szCs w:val="18"/>
                <w:lang w:bidi="ar"/>
              </w:rPr>
              <w:t>患者就诊基本信息表中患者筛选上报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B03</w:t>
            </w:r>
          </w:p>
        </w:tc>
        <w:tc>
          <w:tcPr>
            <w:tcW w:w="993"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住院信息</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B03-1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住院患者信息表</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inpatient_info</w:t>
            </w:r>
          </w:p>
        </w:tc>
        <w:tc>
          <w:tcPr>
            <w:tcW w:w="3110" w:type="dxa"/>
            <w:noWrap w:val="0"/>
            <w:vAlign w:val="center"/>
          </w:tcPr>
          <w:p>
            <w:pPr>
              <w:rPr>
                <w:rFonts w:hint="eastAsia" w:ascii="微软雅黑 Light" w:hAnsi="微软雅黑 Light" w:eastAsia="微软雅黑 Light" w:cs="微软雅黑 Light"/>
                <w:kern w:val="0"/>
                <w:sz w:val="18"/>
                <w:szCs w:val="18"/>
                <w:lang w:eastAsia="zh-CN"/>
              </w:rPr>
            </w:pPr>
            <w:r>
              <w:rPr>
                <w:rFonts w:hint="eastAsia" w:ascii="微软雅黑 Light" w:hAnsi="微软雅黑 Light" w:eastAsia="微软雅黑 Light" w:cs="微软雅黑 Light"/>
                <w:kern w:val="0"/>
                <w:sz w:val="18"/>
                <w:szCs w:val="18"/>
              </w:rPr>
              <w:t>肿瘤医院：所有住院患者的出入院登记信息</w:t>
            </w:r>
          </w:p>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综合医院：按患者筛选规则（参考上报说明书）进行筛选的住院患者</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数据上报周期内住院患者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B04</w:t>
            </w:r>
          </w:p>
        </w:tc>
        <w:tc>
          <w:tcPr>
            <w:tcW w:w="993"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病案首页</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B04-1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病案首页</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medical_record_front_sheet</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患者病案首页信息</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出院时间在数据上报周期内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B05</w:t>
            </w:r>
          </w:p>
        </w:tc>
        <w:tc>
          <w:tcPr>
            <w:tcW w:w="993"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入院信息</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B05-1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入院记录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emr_admission</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住院患者入院记录</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03-1</w:t>
            </w:r>
            <w:r>
              <w:rPr>
                <w:rFonts w:hint="eastAsia" w:ascii="微软雅黑 Light" w:hAnsi="微软雅黑 Light" w:eastAsia="微软雅黑 Light" w:cs="微软雅黑 Light"/>
                <w:color w:val="000000"/>
                <w:kern w:val="0"/>
                <w:sz w:val="18"/>
                <w:szCs w:val="18"/>
                <w:lang w:bidi="ar"/>
              </w:rPr>
              <w:t>住院患者信息表中患者筛选上报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B06</w:t>
            </w:r>
          </w:p>
        </w:tc>
        <w:tc>
          <w:tcPr>
            <w:tcW w:w="993"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病程信息</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B06-1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病程记录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emr_progress_notes</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住院患者所有病程记录：包括首次病程，病程、查房、会诊记录、抢救、手术过程描述等。</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03-1</w:t>
            </w:r>
            <w:r>
              <w:rPr>
                <w:rFonts w:hint="eastAsia" w:ascii="微软雅黑 Light" w:hAnsi="微软雅黑 Light" w:eastAsia="微软雅黑 Light" w:cs="微软雅黑 Light"/>
                <w:color w:val="000000"/>
                <w:kern w:val="0"/>
                <w:sz w:val="18"/>
                <w:szCs w:val="18"/>
                <w:lang w:bidi="ar"/>
              </w:rPr>
              <w:t>住院患者信息表中患者筛选上报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B07</w:t>
            </w:r>
          </w:p>
        </w:tc>
        <w:tc>
          <w:tcPr>
            <w:tcW w:w="993"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出院信息</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B07-1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出院记录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emr_discharge</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住院患者出院记录</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03-1</w:t>
            </w:r>
            <w:r>
              <w:rPr>
                <w:rFonts w:hint="eastAsia" w:ascii="微软雅黑 Light" w:hAnsi="微软雅黑 Light" w:eastAsia="微软雅黑 Light" w:cs="微软雅黑 Light"/>
                <w:color w:val="000000"/>
                <w:kern w:val="0"/>
                <w:sz w:val="18"/>
                <w:szCs w:val="18"/>
                <w:lang w:bidi="ar"/>
              </w:rPr>
              <w:t>住院患者信息表中患者筛选上报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B08</w:t>
            </w:r>
          </w:p>
        </w:tc>
        <w:tc>
          <w:tcPr>
            <w:tcW w:w="993"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住院手术信息</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B08-1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住院手术记录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inpatient_surgical_record</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住院手术记录</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03-1</w:t>
            </w:r>
            <w:r>
              <w:rPr>
                <w:rFonts w:hint="eastAsia" w:ascii="微软雅黑 Light" w:hAnsi="微软雅黑 Light" w:eastAsia="微软雅黑 Light" w:cs="微软雅黑 Light"/>
                <w:color w:val="000000"/>
                <w:kern w:val="0"/>
                <w:sz w:val="18"/>
                <w:szCs w:val="18"/>
                <w:lang w:bidi="ar"/>
              </w:rPr>
              <w:t>住院患者信息表中患者筛选上报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B09</w:t>
            </w:r>
          </w:p>
        </w:tc>
        <w:tc>
          <w:tcPr>
            <w:tcW w:w="993"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住院护理信息</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B09-1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住院护理记录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inpatient_nursing_record</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住院护理记录</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03-1</w:t>
            </w:r>
            <w:r>
              <w:rPr>
                <w:rFonts w:hint="eastAsia" w:ascii="微软雅黑 Light" w:hAnsi="微软雅黑 Light" w:eastAsia="微软雅黑 Light" w:cs="微软雅黑 Light"/>
                <w:color w:val="000000"/>
                <w:kern w:val="0"/>
                <w:sz w:val="18"/>
                <w:szCs w:val="18"/>
                <w:lang w:bidi="ar"/>
              </w:rPr>
              <w:t>住院患者信息表中患者筛选上报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B10</w:t>
            </w:r>
          </w:p>
        </w:tc>
        <w:tc>
          <w:tcPr>
            <w:tcW w:w="993"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住院医嘱</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B10-1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住院医嘱记录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inpatient_order</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住院患者所有医嘱信息，包括：长期、临时、检验类、检查类、诊疗类、手术类、治疗类、护理类等。</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03-1</w:t>
            </w:r>
            <w:r>
              <w:rPr>
                <w:rFonts w:hint="eastAsia" w:ascii="微软雅黑 Light" w:hAnsi="微软雅黑 Light" w:eastAsia="微软雅黑 Light" w:cs="微软雅黑 Light"/>
                <w:color w:val="000000"/>
                <w:kern w:val="0"/>
                <w:sz w:val="18"/>
                <w:szCs w:val="18"/>
                <w:lang w:bidi="ar"/>
              </w:rPr>
              <w:t>住院患者信息表中患者筛选上报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restart"/>
            <w:noWrap w:val="0"/>
            <w:vAlign w:val="center"/>
          </w:tcPr>
          <w:p>
            <w:pPr>
              <w:widowControl/>
              <w:ind w:firstLine="180" w:firstLineChars="100"/>
              <w:jc w:val="both"/>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B11</w:t>
            </w:r>
          </w:p>
        </w:tc>
        <w:tc>
          <w:tcPr>
            <w:tcW w:w="993" w:type="dxa"/>
            <w:vMerge w:val="restart"/>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住院收费信息</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B11-1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住院收费记录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inpatient_expense_record</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住院患者所有费用明细信息，包括药品类、医技申请单类、诊疗类（含日间手术等）</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03-1</w:t>
            </w:r>
            <w:r>
              <w:rPr>
                <w:rFonts w:hint="eastAsia" w:ascii="微软雅黑 Light" w:hAnsi="微软雅黑 Light" w:eastAsia="微软雅黑 Light" w:cs="微软雅黑 Light"/>
                <w:color w:val="000000"/>
                <w:kern w:val="0"/>
                <w:sz w:val="18"/>
                <w:szCs w:val="18"/>
                <w:lang w:bidi="ar"/>
              </w:rPr>
              <w:t>住院患者信息表中患者筛选上报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continue"/>
            <w:noWrap w:val="0"/>
            <w:vAlign w:val="center"/>
          </w:tcPr>
          <w:p>
            <w:pPr>
              <w:widowControl/>
              <w:jc w:val="center"/>
              <w:rPr>
                <w:rFonts w:ascii="微软雅黑 Light" w:hAnsi="微软雅黑 Light" w:eastAsia="微软雅黑 Light" w:cs="微软雅黑 Light"/>
                <w:kern w:val="0"/>
                <w:sz w:val="18"/>
                <w:szCs w:val="18"/>
              </w:rPr>
            </w:pPr>
          </w:p>
        </w:tc>
        <w:tc>
          <w:tcPr>
            <w:tcW w:w="993" w:type="dxa"/>
            <w:vMerge w:val="continue"/>
            <w:noWrap w:val="0"/>
            <w:vAlign w:val="center"/>
          </w:tcPr>
          <w:p>
            <w:pPr>
              <w:widowControl/>
              <w:jc w:val="center"/>
              <w:rPr>
                <w:rFonts w:ascii="微软雅黑 Light" w:hAnsi="微软雅黑 Light" w:eastAsia="微软雅黑 Light" w:cs="微软雅黑 Light"/>
                <w:kern w:val="0"/>
                <w:sz w:val="18"/>
                <w:szCs w:val="18"/>
              </w:rPr>
            </w:pPr>
          </w:p>
        </w:tc>
        <w:tc>
          <w:tcPr>
            <w:tcW w:w="567" w:type="dxa"/>
            <w:noWrap w:val="0"/>
            <w:vAlign w:val="center"/>
          </w:tcPr>
          <w:p>
            <w:pPr>
              <w:widowControl/>
              <w:jc w:val="center"/>
              <w:rPr>
                <w:rFonts w:hint="eastAsia" w:ascii="微软雅黑 Light" w:hAnsi="微软雅黑 Light" w:eastAsia="微软雅黑 Light" w:cs="微软雅黑 Light"/>
                <w:kern w:val="0"/>
                <w:sz w:val="18"/>
                <w:szCs w:val="18"/>
                <w:lang w:val="en-US" w:eastAsia="zh-CN" w:bidi="ar-SA"/>
              </w:rPr>
            </w:pPr>
            <w:r>
              <w:rPr>
                <w:rFonts w:hint="eastAsia" w:ascii="微软雅黑 Light" w:hAnsi="微软雅黑 Light" w:eastAsia="微软雅黑 Light" w:cs="微软雅黑 Light"/>
                <w:kern w:val="0"/>
                <w:sz w:val="18"/>
                <w:szCs w:val="18"/>
              </w:rPr>
              <w:t>B11-</w:t>
            </w:r>
            <w:r>
              <w:rPr>
                <w:rFonts w:hint="eastAsia" w:ascii="微软雅黑 Light" w:hAnsi="微软雅黑 Light" w:eastAsia="微软雅黑 Light" w:cs="微软雅黑 Light"/>
                <w:kern w:val="0"/>
                <w:sz w:val="18"/>
                <w:szCs w:val="18"/>
                <w:lang w:val="en-US" w:eastAsia="zh-CN"/>
              </w:rPr>
              <w:t>2</w:t>
            </w:r>
          </w:p>
        </w:tc>
        <w:tc>
          <w:tcPr>
            <w:tcW w:w="1275" w:type="dxa"/>
            <w:noWrap w:val="0"/>
            <w:vAlign w:val="center"/>
          </w:tcPr>
          <w:p>
            <w:pPr>
              <w:widowControl/>
              <w:jc w:val="left"/>
              <w:rPr>
                <w:rFonts w:hint="eastAsia" w:ascii="微软雅黑 Light" w:hAnsi="微软雅黑 Light" w:eastAsia="微软雅黑 Light" w:cs="微软雅黑 Light"/>
                <w:kern w:val="0"/>
                <w:sz w:val="18"/>
                <w:szCs w:val="18"/>
                <w:lang w:val="en-US" w:eastAsia="zh-CN" w:bidi="ar-SA"/>
              </w:rPr>
            </w:pPr>
            <w:r>
              <w:rPr>
                <w:rFonts w:hint="eastAsia" w:ascii="微软雅黑 Light" w:hAnsi="微软雅黑 Light" w:eastAsia="微软雅黑 Light" w:cs="微软雅黑 Light"/>
                <w:kern w:val="0"/>
                <w:sz w:val="18"/>
                <w:szCs w:val="18"/>
              </w:rPr>
              <w:t>住院费用结算记录</w:t>
            </w:r>
          </w:p>
        </w:tc>
        <w:tc>
          <w:tcPr>
            <w:tcW w:w="1134" w:type="dxa"/>
            <w:noWrap w:val="0"/>
            <w:vAlign w:val="center"/>
          </w:tcPr>
          <w:p>
            <w:pPr>
              <w:widowControl/>
              <w:jc w:val="left"/>
              <w:rPr>
                <w:rFonts w:hint="eastAsia" w:ascii="微软雅黑 Light" w:hAnsi="微软雅黑 Light" w:eastAsia="微软雅黑 Light" w:cs="微软雅黑 Light"/>
                <w:kern w:val="0"/>
                <w:sz w:val="18"/>
                <w:szCs w:val="18"/>
                <w:lang w:val="en-US" w:eastAsia="zh-CN" w:bidi="ar-SA"/>
              </w:rPr>
            </w:pPr>
            <w:r>
              <w:rPr>
                <w:rFonts w:ascii="微软雅黑 Light" w:hAnsi="微软雅黑 Light" w:eastAsia="微软雅黑 Light" w:cs="微软雅黑 Light"/>
                <w:kern w:val="0"/>
                <w:sz w:val="18"/>
                <w:szCs w:val="18"/>
              </w:rPr>
              <w:t>inpatient_fee_medicare_settlement</w:t>
            </w:r>
          </w:p>
        </w:tc>
        <w:tc>
          <w:tcPr>
            <w:tcW w:w="3110" w:type="dxa"/>
            <w:noWrap w:val="0"/>
            <w:vAlign w:val="center"/>
          </w:tcPr>
          <w:p>
            <w:pPr>
              <w:rPr>
                <w:rFonts w:hint="eastAsia" w:ascii="微软雅黑 Light" w:hAnsi="微软雅黑 Light" w:eastAsia="微软雅黑 Light" w:cs="微软雅黑 Light"/>
                <w:kern w:val="0"/>
                <w:sz w:val="18"/>
                <w:szCs w:val="18"/>
                <w:lang w:val="en-US" w:eastAsia="zh-CN" w:bidi="ar-SA"/>
              </w:rPr>
            </w:pPr>
            <w:r>
              <w:rPr>
                <w:rFonts w:hint="eastAsia" w:ascii="微软雅黑 Light" w:hAnsi="微软雅黑 Light" w:eastAsia="微软雅黑 Light" w:cs="微软雅黑 Light"/>
                <w:kern w:val="0"/>
                <w:sz w:val="18"/>
                <w:szCs w:val="18"/>
              </w:rPr>
              <w:t>住院患者费用结算记录(结算信息，包括总费用、统筹、账户支付、现金支付等)</w:t>
            </w:r>
          </w:p>
        </w:tc>
        <w:tc>
          <w:tcPr>
            <w:tcW w:w="1899" w:type="dxa"/>
            <w:noWrap w:val="0"/>
            <w:vAlign w:val="center"/>
          </w:tcPr>
          <w:p>
            <w:pPr>
              <w:widowControl/>
              <w:jc w:val="left"/>
              <w:textAlignment w:val="center"/>
              <w:rPr>
                <w:rFonts w:hint="eastAsia" w:ascii="微软雅黑 Light" w:hAnsi="微软雅黑 Light" w:eastAsia="微软雅黑 Light" w:cs="微软雅黑 Light"/>
                <w:color w:val="000000"/>
                <w:kern w:val="0"/>
                <w:sz w:val="18"/>
                <w:szCs w:val="18"/>
                <w:lang w:val="en-US" w:eastAsia="zh-CN" w:bidi="ar"/>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03-1</w:t>
            </w:r>
            <w:r>
              <w:rPr>
                <w:rFonts w:hint="eastAsia" w:ascii="微软雅黑 Light" w:hAnsi="微软雅黑 Light" w:eastAsia="微软雅黑 Light" w:cs="微软雅黑 Light"/>
                <w:color w:val="000000"/>
                <w:kern w:val="0"/>
                <w:sz w:val="18"/>
                <w:szCs w:val="18"/>
                <w:lang w:bidi="ar"/>
              </w:rPr>
              <w:t>住院患者信息表中患者筛选上报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B12</w:t>
            </w:r>
          </w:p>
        </w:tc>
        <w:tc>
          <w:tcPr>
            <w:tcW w:w="993"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门诊信息</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B12-1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门诊患者信息表</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outpatient_info</w:t>
            </w:r>
          </w:p>
        </w:tc>
        <w:tc>
          <w:tcPr>
            <w:tcW w:w="3110" w:type="dxa"/>
            <w:noWrap w:val="0"/>
            <w:vAlign w:val="center"/>
          </w:tcPr>
          <w:p>
            <w:pPr>
              <w:rPr>
                <w:rFonts w:hint="eastAsia" w:ascii="微软雅黑 Light" w:hAnsi="微软雅黑 Light" w:eastAsia="微软雅黑 Light" w:cs="微软雅黑 Light"/>
                <w:kern w:val="0"/>
                <w:sz w:val="18"/>
                <w:szCs w:val="18"/>
                <w:lang w:eastAsia="zh-CN"/>
              </w:rPr>
            </w:pPr>
            <w:r>
              <w:rPr>
                <w:rFonts w:hint="eastAsia" w:ascii="微软雅黑 Light" w:hAnsi="微软雅黑 Light" w:eastAsia="微软雅黑 Light" w:cs="微软雅黑 Light"/>
                <w:kern w:val="0"/>
                <w:sz w:val="18"/>
                <w:szCs w:val="18"/>
              </w:rPr>
              <w:t>肿瘤医院：所有门诊患者的挂号信息</w:t>
            </w:r>
          </w:p>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综合医院：按患者筛选规则（参考上报说明书）进行筛选的门诊患者</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就诊时间在数据上报周期内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B13</w:t>
            </w:r>
          </w:p>
        </w:tc>
        <w:tc>
          <w:tcPr>
            <w:tcW w:w="993"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门诊病历信息</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B13-1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门诊病历记录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outpatient_diag_and_medrecord</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门诊患者的所有门诊诊断及病历记录</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12-1</w:t>
            </w:r>
            <w:r>
              <w:rPr>
                <w:rFonts w:hint="eastAsia" w:ascii="微软雅黑 Light" w:hAnsi="微软雅黑 Light" w:eastAsia="微软雅黑 Light" w:cs="微软雅黑 Light"/>
                <w:color w:val="000000"/>
                <w:kern w:val="0"/>
                <w:sz w:val="18"/>
                <w:szCs w:val="18"/>
                <w:lang w:bidi="ar"/>
              </w:rPr>
              <w:t>门诊患者信息表中患者筛选上报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B14</w:t>
            </w:r>
          </w:p>
        </w:tc>
        <w:tc>
          <w:tcPr>
            <w:tcW w:w="993"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门诊医嘱</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B14-1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门诊医嘱处方记录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outpatient_order_and_pres</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门诊患者所有医嘱及处方信息，包括：西药、中成药、中草药、检验类、检查类、诊疗类、手术类、治疗类、护理类等。</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12-1</w:t>
            </w:r>
            <w:r>
              <w:rPr>
                <w:rFonts w:hint="eastAsia" w:ascii="微软雅黑 Light" w:hAnsi="微软雅黑 Light" w:eastAsia="微软雅黑 Light" w:cs="微软雅黑 Light"/>
                <w:color w:val="000000"/>
                <w:kern w:val="0"/>
                <w:sz w:val="18"/>
                <w:szCs w:val="18"/>
                <w:lang w:bidi="ar"/>
              </w:rPr>
              <w:t>门诊患者信息表中患者筛选上报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restart"/>
            <w:shd w:val="clear" w:color="auto" w:fill="FFFFFF"/>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B15</w:t>
            </w:r>
          </w:p>
        </w:tc>
        <w:tc>
          <w:tcPr>
            <w:tcW w:w="993" w:type="dxa"/>
            <w:vMerge w:val="restart"/>
            <w:shd w:val="clear" w:color="auto" w:fill="FFFFFF"/>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门诊收费信息</w:t>
            </w:r>
          </w:p>
        </w:tc>
        <w:tc>
          <w:tcPr>
            <w:tcW w:w="567" w:type="dxa"/>
            <w:shd w:val="clear" w:color="auto" w:fill="FFFFFF"/>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B15-1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门诊收费记录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outpatient_expense_record</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门诊患者所有费用明细信息，包括药品类、医技申请单类、诊疗类（含日间手术等）</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12-1</w:t>
            </w:r>
            <w:r>
              <w:rPr>
                <w:rFonts w:hint="eastAsia" w:ascii="微软雅黑 Light" w:hAnsi="微软雅黑 Light" w:eastAsia="微软雅黑 Light" w:cs="微软雅黑 Light"/>
                <w:color w:val="000000"/>
                <w:kern w:val="0"/>
                <w:sz w:val="18"/>
                <w:szCs w:val="18"/>
                <w:lang w:bidi="ar"/>
              </w:rPr>
              <w:t>门诊患者信息表中患者筛选上报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continue"/>
            <w:shd w:val="clear" w:color="auto" w:fill="FFFFFF"/>
            <w:noWrap w:val="0"/>
            <w:vAlign w:val="center"/>
          </w:tcPr>
          <w:p>
            <w:pPr>
              <w:widowControl/>
              <w:jc w:val="center"/>
              <w:rPr>
                <w:rFonts w:ascii="微软雅黑 Light" w:hAnsi="微软雅黑 Light" w:eastAsia="微软雅黑 Light" w:cs="宋体"/>
                <w:kern w:val="0"/>
                <w:sz w:val="18"/>
                <w:szCs w:val="18"/>
              </w:rPr>
            </w:pPr>
          </w:p>
        </w:tc>
        <w:tc>
          <w:tcPr>
            <w:tcW w:w="993" w:type="dxa"/>
            <w:vMerge w:val="continue"/>
            <w:shd w:val="clear" w:color="auto" w:fill="FFFFFF"/>
            <w:noWrap w:val="0"/>
            <w:vAlign w:val="center"/>
          </w:tcPr>
          <w:p>
            <w:pPr>
              <w:widowControl/>
              <w:jc w:val="center"/>
              <w:rPr>
                <w:rFonts w:ascii="微软雅黑 Light" w:hAnsi="微软雅黑 Light" w:eastAsia="微软雅黑 Light" w:cs="宋体"/>
                <w:kern w:val="0"/>
                <w:sz w:val="18"/>
                <w:szCs w:val="18"/>
              </w:rPr>
            </w:pPr>
          </w:p>
        </w:tc>
        <w:tc>
          <w:tcPr>
            <w:tcW w:w="567" w:type="dxa"/>
            <w:shd w:val="clear" w:color="auto" w:fill="FFFFFF"/>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B15-2</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门诊费用结算记录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ascii="微软雅黑 Light" w:hAnsi="微软雅黑 Light" w:eastAsia="微软雅黑 Light" w:cs="微软雅黑 Light"/>
                <w:kern w:val="0"/>
                <w:sz w:val="18"/>
                <w:szCs w:val="18"/>
              </w:rPr>
              <w:t>outpatient_fee_invoices</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门诊患者结算信息(包括总费用、统筹、账户支付、现金支付等)</w:t>
            </w:r>
          </w:p>
        </w:tc>
        <w:tc>
          <w:tcPr>
            <w:tcW w:w="1899" w:type="dxa"/>
            <w:noWrap w:val="0"/>
            <w:vAlign w:val="center"/>
          </w:tcPr>
          <w:p>
            <w:pPr>
              <w:widowControl/>
              <w:jc w:val="left"/>
              <w:textAlignment w:val="center"/>
              <w:rPr>
                <w:rFonts w:ascii="微软雅黑 Light" w:hAnsi="微软雅黑 Light" w:eastAsia="微软雅黑 Light" w:cs="微软雅黑 Light"/>
                <w:color w:val="000000"/>
                <w:kern w:val="0"/>
                <w:sz w:val="18"/>
                <w:szCs w:val="18"/>
                <w:lang w:bidi="ar"/>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12-1</w:t>
            </w:r>
            <w:r>
              <w:rPr>
                <w:rFonts w:hint="eastAsia" w:ascii="微软雅黑 Light" w:hAnsi="微软雅黑 Light" w:eastAsia="微软雅黑 Light" w:cs="微软雅黑 Light"/>
                <w:color w:val="000000"/>
                <w:kern w:val="0"/>
                <w:sz w:val="18"/>
                <w:szCs w:val="18"/>
                <w:lang w:bidi="ar"/>
              </w:rPr>
              <w:t>门诊患者信息表中患者筛选上报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restart"/>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B16</w:t>
            </w:r>
          </w:p>
        </w:tc>
        <w:tc>
          <w:tcPr>
            <w:tcW w:w="993" w:type="dxa"/>
            <w:vMerge w:val="restart"/>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检查信息</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B16-1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常规检查记录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exam_info</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包括：X线、MRI、CT、DSA、PET-CT、钼靶、B超、彩超、超声心动图、骨扫描、内镜、心电图、肺功能等。</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02-1</w:t>
            </w:r>
            <w:r>
              <w:rPr>
                <w:rFonts w:hint="eastAsia" w:ascii="微软雅黑 Light" w:hAnsi="微软雅黑 Light" w:eastAsia="微软雅黑 Light" w:cs="微软雅黑 Light"/>
                <w:color w:val="000000"/>
                <w:kern w:val="0"/>
                <w:sz w:val="18"/>
                <w:szCs w:val="18"/>
                <w:lang w:bidi="ar"/>
              </w:rPr>
              <w:t>患者就诊基本信息表中患者筛选上报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continue"/>
            <w:noWrap w:val="0"/>
            <w:vAlign w:val="center"/>
          </w:tcPr>
          <w:p>
            <w:pPr>
              <w:widowControl/>
              <w:jc w:val="center"/>
              <w:rPr>
                <w:rFonts w:ascii="微软雅黑 Light" w:hAnsi="微软雅黑 Light" w:eastAsia="微软雅黑 Light" w:cs="微软雅黑 Light"/>
                <w:kern w:val="0"/>
                <w:sz w:val="18"/>
                <w:szCs w:val="18"/>
              </w:rPr>
            </w:pPr>
          </w:p>
        </w:tc>
        <w:tc>
          <w:tcPr>
            <w:tcW w:w="993" w:type="dxa"/>
            <w:vMerge w:val="continue"/>
            <w:noWrap w:val="0"/>
            <w:vAlign w:val="center"/>
          </w:tcPr>
          <w:p>
            <w:pPr>
              <w:widowControl/>
              <w:jc w:val="center"/>
              <w:rPr>
                <w:rFonts w:ascii="微软雅黑 Light" w:hAnsi="微软雅黑 Light" w:eastAsia="微软雅黑 Light" w:cs="微软雅黑 Light"/>
                <w:kern w:val="0"/>
                <w:sz w:val="18"/>
                <w:szCs w:val="18"/>
              </w:rPr>
            </w:pP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B16-2</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病理检查记录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pathological_exam_record</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包括：细胞学病理、冰冻病理、常规病理；含免疫组化、骨髓检查等。</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报告时间在数据上报周期内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continue"/>
            <w:noWrap w:val="0"/>
            <w:vAlign w:val="center"/>
          </w:tcPr>
          <w:p>
            <w:pPr>
              <w:widowControl/>
              <w:jc w:val="center"/>
              <w:rPr>
                <w:rFonts w:ascii="微软雅黑 Light" w:hAnsi="微软雅黑 Light" w:eastAsia="微软雅黑 Light" w:cs="微软雅黑 Light"/>
                <w:kern w:val="0"/>
                <w:sz w:val="18"/>
                <w:szCs w:val="18"/>
              </w:rPr>
            </w:pPr>
          </w:p>
        </w:tc>
        <w:tc>
          <w:tcPr>
            <w:tcW w:w="993" w:type="dxa"/>
            <w:vMerge w:val="continue"/>
            <w:noWrap w:val="0"/>
            <w:vAlign w:val="center"/>
          </w:tcPr>
          <w:p>
            <w:pPr>
              <w:widowControl/>
              <w:jc w:val="center"/>
              <w:rPr>
                <w:rFonts w:ascii="微软雅黑 Light" w:hAnsi="微软雅黑 Light" w:eastAsia="微软雅黑 Light" w:cs="微软雅黑 Light"/>
                <w:kern w:val="0"/>
                <w:sz w:val="18"/>
                <w:szCs w:val="18"/>
              </w:rPr>
            </w:pP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B16-3</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分子病理检测记录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molecular_pathology_exam_record</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包括：FISH，qPCR，Sanger，NGS等</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报告时间在数据上报周期内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restart"/>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B17</w:t>
            </w:r>
          </w:p>
        </w:tc>
        <w:tc>
          <w:tcPr>
            <w:tcW w:w="993" w:type="dxa"/>
            <w:vMerge w:val="restart"/>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检验信息</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B17-1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常规检验记录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lab_info</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包括：三大常规、血生化、凝血、肿瘤标志物、感染相关检验、激素检验等。</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02-1</w:t>
            </w:r>
            <w:r>
              <w:rPr>
                <w:rFonts w:hint="eastAsia" w:ascii="微软雅黑 Light" w:hAnsi="微软雅黑 Light" w:eastAsia="微软雅黑 Light" w:cs="微软雅黑 Light"/>
                <w:color w:val="000000"/>
                <w:kern w:val="0"/>
                <w:sz w:val="18"/>
                <w:szCs w:val="18"/>
                <w:lang w:bidi="ar"/>
              </w:rPr>
              <w:t>患者就诊基本信息表中患者筛选上报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vMerge w:val="continue"/>
            <w:noWrap w:val="0"/>
            <w:vAlign w:val="center"/>
          </w:tcPr>
          <w:p>
            <w:pPr>
              <w:widowControl/>
              <w:jc w:val="center"/>
              <w:rPr>
                <w:rFonts w:ascii="微软雅黑 Light" w:hAnsi="微软雅黑 Light" w:eastAsia="微软雅黑 Light" w:cs="微软雅黑 Light"/>
                <w:kern w:val="0"/>
                <w:sz w:val="18"/>
                <w:szCs w:val="18"/>
              </w:rPr>
            </w:pPr>
          </w:p>
        </w:tc>
        <w:tc>
          <w:tcPr>
            <w:tcW w:w="993" w:type="dxa"/>
            <w:vMerge w:val="continue"/>
            <w:noWrap w:val="0"/>
            <w:vAlign w:val="center"/>
          </w:tcPr>
          <w:p>
            <w:pPr>
              <w:widowControl/>
              <w:jc w:val="center"/>
              <w:rPr>
                <w:rFonts w:ascii="微软雅黑 Light" w:hAnsi="微软雅黑 Light" w:eastAsia="微软雅黑 Light" w:cs="微软雅黑 Light"/>
                <w:kern w:val="0"/>
                <w:sz w:val="18"/>
                <w:szCs w:val="18"/>
              </w:rPr>
            </w:pP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B17-2</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微生物检验记录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lab_microbiological_info</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包括：细菌培养等。</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按B</w:t>
            </w:r>
            <w:r>
              <w:rPr>
                <w:rFonts w:ascii="微软雅黑 Light" w:hAnsi="微软雅黑 Light" w:eastAsia="微软雅黑 Light" w:cs="微软雅黑 Light"/>
                <w:color w:val="000000"/>
                <w:kern w:val="0"/>
                <w:sz w:val="18"/>
                <w:szCs w:val="18"/>
                <w:lang w:bidi="ar"/>
              </w:rPr>
              <w:t>02-1</w:t>
            </w:r>
            <w:r>
              <w:rPr>
                <w:rFonts w:hint="eastAsia" w:ascii="微软雅黑 Light" w:hAnsi="微软雅黑 Light" w:eastAsia="微软雅黑 Light" w:cs="微软雅黑 Light"/>
                <w:color w:val="000000"/>
                <w:kern w:val="0"/>
                <w:sz w:val="18"/>
                <w:szCs w:val="18"/>
                <w:lang w:bidi="ar"/>
              </w:rPr>
              <w:t>患者就诊基本信息表中患者筛选上报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B18</w:t>
            </w:r>
          </w:p>
        </w:tc>
        <w:tc>
          <w:tcPr>
            <w:tcW w:w="993"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治疗信息</w:t>
            </w:r>
          </w:p>
        </w:tc>
        <w:tc>
          <w:tcPr>
            <w:tcW w:w="567" w:type="dxa"/>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B18-1</w:t>
            </w:r>
          </w:p>
        </w:tc>
        <w:tc>
          <w:tcPr>
            <w:tcW w:w="1275"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临床放疗记录</w:t>
            </w:r>
          </w:p>
        </w:tc>
        <w:tc>
          <w:tcPr>
            <w:tcW w:w="1134" w:type="dxa"/>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rad_info</w:t>
            </w:r>
          </w:p>
        </w:tc>
        <w:tc>
          <w:tcPr>
            <w:tcW w:w="3110" w:type="dxa"/>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包括：IMRT，DGRT，TOMO，3DCRT，2DRT，SBRT等。</w:t>
            </w:r>
          </w:p>
        </w:tc>
        <w:tc>
          <w:tcPr>
            <w:tcW w:w="1899" w:type="dxa"/>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放疗结束日期在数据上报周期内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jc w:val="center"/>
        </w:trPr>
        <w:tc>
          <w:tcPr>
            <w:tcW w:w="708" w:type="dxa"/>
            <w:shd w:val="clear" w:color="auto" w:fill="FFFFFF"/>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B19</w:t>
            </w:r>
          </w:p>
        </w:tc>
        <w:tc>
          <w:tcPr>
            <w:tcW w:w="993" w:type="dxa"/>
            <w:shd w:val="clear" w:color="auto" w:fill="FFFFFF"/>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宋体"/>
                <w:kern w:val="0"/>
                <w:sz w:val="18"/>
                <w:szCs w:val="18"/>
              </w:rPr>
              <w:t>随访信息</w:t>
            </w:r>
          </w:p>
        </w:tc>
        <w:tc>
          <w:tcPr>
            <w:tcW w:w="567" w:type="dxa"/>
            <w:shd w:val="clear" w:color="auto" w:fill="FFFFFF"/>
            <w:noWrap w:val="0"/>
            <w:vAlign w:val="center"/>
          </w:tcPr>
          <w:p>
            <w:pPr>
              <w:widowControl/>
              <w:jc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B19-1</w:t>
            </w:r>
          </w:p>
        </w:tc>
        <w:tc>
          <w:tcPr>
            <w:tcW w:w="1275" w:type="dxa"/>
            <w:shd w:val="clear" w:color="auto" w:fill="FFFFFF"/>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随访记录</w:t>
            </w:r>
          </w:p>
        </w:tc>
        <w:tc>
          <w:tcPr>
            <w:tcW w:w="1134" w:type="dxa"/>
            <w:shd w:val="clear" w:color="auto" w:fill="FFFFFF"/>
            <w:noWrap w:val="0"/>
            <w:vAlign w:val="center"/>
          </w:tcPr>
          <w:p>
            <w:pPr>
              <w:widowControl/>
              <w:jc w:val="left"/>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follow_up</w:t>
            </w:r>
          </w:p>
        </w:tc>
        <w:tc>
          <w:tcPr>
            <w:tcW w:w="3110" w:type="dxa"/>
            <w:shd w:val="clear" w:color="auto" w:fill="FFFFFF"/>
            <w:noWrap w:val="0"/>
            <w:vAlign w:val="center"/>
          </w:tcPr>
          <w:p>
            <w:pP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kern w:val="0"/>
                <w:sz w:val="18"/>
                <w:szCs w:val="18"/>
              </w:rPr>
              <w:t>本周期内的患者随访信息</w:t>
            </w:r>
          </w:p>
        </w:tc>
        <w:tc>
          <w:tcPr>
            <w:tcW w:w="1899" w:type="dxa"/>
            <w:shd w:val="clear" w:color="auto" w:fill="FFFFFF"/>
            <w:noWrap w:val="0"/>
            <w:vAlign w:val="center"/>
          </w:tcPr>
          <w:p>
            <w:pPr>
              <w:widowControl/>
              <w:jc w:val="left"/>
              <w:textAlignment w:val="center"/>
              <w:rPr>
                <w:rFonts w:ascii="微软雅黑 Light" w:hAnsi="微软雅黑 Light" w:eastAsia="微软雅黑 Light" w:cs="微软雅黑 Light"/>
                <w:kern w:val="0"/>
                <w:sz w:val="18"/>
                <w:szCs w:val="18"/>
              </w:rPr>
            </w:pPr>
            <w:r>
              <w:rPr>
                <w:rFonts w:hint="eastAsia" w:ascii="微软雅黑 Light" w:hAnsi="微软雅黑 Light" w:eastAsia="微软雅黑 Light" w:cs="微软雅黑 Light"/>
                <w:color w:val="000000"/>
                <w:kern w:val="0"/>
                <w:sz w:val="18"/>
                <w:szCs w:val="18"/>
                <w:lang w:bidi="ar"/>
              </w:rPr>
              <w:t>随访时间数据上报周期内</w:t>
            </w:r>
          </w:p>
        </w:tc>
      </w:tr>
    </w:tbl>
    <w:p/>
    <w:p>
      <w:pPr>
        <w:pStyle w:val="14"/>
      </w:pPr>
      <w:bookmarkStart w:id="137" w:name="_Toc4862"/>
      <w:r>
        <w:rPr>
          <w:rFonts w:hint="eastAsia"/>
        </w:rPr>
        <w:t>数据上报原则</w:t>
      </w:r>
      <w:bookmarkEnd w:id="137"/>
    </w:p>
    <w:p>
      <w:pPr>
        <w:pStyle w:val="9"/>
        <w:spacing w:line="400" w:lineRule="exact"/>
        <w:ind w:left="284" w:firstLine="420" w:firstLineChars="200"/>
        <w:rPr>
          <w:rFonts w:ascii="微软雅黑 Light" w:hAnsi="微软雅黑 Light" w:eastAsia="微软雅黑 Light" w:cs="Times New Roman"/>
          <w:kern w:val="2"/>
          <w:sz w:val="21"/>
          <w:szCs w:val="21"/>
        </w:rPr>
      </w:pPr>
      <w:r>
        <w:rPr>
          <w:rFonts w:hint="eastAsia" w:ascii="微软雅黑 Light" w:hAnsi="微软雅黑 Light" w:eastAsia="微软雅黑 Light" w:cs="Times New Roman"/>
          <w:kern w:val="2"/>
          <w:sz w:val="21"/>
          <w:szCs w:val="21"/>
        </w:rPr>
        <w:t>在上报患者数据时应该遵循以下原则：</w:t>
      </w:r>
    </w:p>
    <w:p>
      <w:pPr>
        <w:pStyle w:val="9"/>
        <w:numPr>
          <w:ilvl w:val="0"/>
          <w:numId w:val="6"/>
        </w:numPr>
        <w:spacing w:line="400" w:lineRule="exact"/>
        <w:rPr>
          <w:rFonts w:ascii="微软雅黑 Light" w:hAnsi="微软雅黑 Light" w:eastAsia="微软雅黑 Light" w:cs="Times New Roman"/>
          <w:kern w:val="2"/>
          <w:sz w:val="21"/>
          <w:szCs w:val="21"/>
        </w:rPr>
      </w:pPr>
      <w:r>
        <w:rPr>
          <w:rFonts w:hint="eastAsia" w:ascii="微软雅黑 Light" w:hAnsi="微软雅黑 Light" w:eastAsia="微软雅黑 Light" w:cs="Times New Roman"/>
          <w:kern w:val="2"/>
          <w:sz w:val="21"/>
          <w:szCs w:val="21"/>
        </w:rPr>
        <w:t>数据完整性：符合条件的患者相关数据都应该上报，每张表的格式必须符合CDM的要求规范。</w:t>
      </w:r>
    </w:p>
    <w:p>
      <w:pPr>
        <w:pStyle w:val="9"/>
        <w:numPr>
          <w:ilvl w:val="0"/>
          <w:numId w:val="6"/>
        </w:numPr>
        <w:spacing w:line="400" w:lineRule="exact"/>
        <w:rPr>
          <w:rFonts w:ascii="微软雅黑 Light" w:hAnsi="微软雅黑 Light" w:eastAsia="微软雅黑 Light" w:cs="Times New Roman"/>
          <w:kern w:val="2"/>
          <w:sz w:val="21"/>
          <w:szCs w:val="21"/>
        </w:rPr>
      </w:pPr>
      <w:r>
        <w:rPr>
          <w:rFonts w:hint="eastAsia" w:ascii="微软雅黑 Light" w:hAnsi="微软雅黑 Light" w:eastAsia="微软雅黑 Light" w:cs="Times New Roman"/>
          <w:kern w:val="2"/>
          <w:sz w:val="21"/>
          <w:szCs w:val="21"/>
        </w:rPr>
        <w:t>数据及时性：需要在规定的时间上报数据。</w:t>
      </w:r>
    </w:p>
    <w:p>
      <w:pPr>
        <w:pStyle w:val="9"/>
        <w:numPr>
          <w:ilvl w:val="0"/>
          <w:numId w:val="6"/>
        </w:numPr>
        <w:spacing w:line="400" w:lineRule="exact"/>
        <w:rPr>
          <w:rFonts w:ascii="微软雅黑 Light" w:hAnsi="微软雅黑 Light" w:eastAsia="微软雅黑 Light" w:cs="Times New Roman"/>
          <w:kern w:val="2"/>
          <w:sz w:val="21"/>
          <w:szCs w:val="21"/>
        </w:rPr>
      </w:pPr>
      <w:r>
        <w:rPr>
          <w:rFonts w:hint="eastAsia" w:ascii="微软雅黑 Light" w:hAnsi="微软雅黑 Light" w:eastAsia="微软雅黑 Light" w:cs="Times New Roman"/>
          <w:kern w:val="2"/>
          <w:sz w:val="21"/>
          <w:szCs w:val="21"/>
        </w:rPr>
        <w:t>数据真实性：</w:t>
      </w:r>
      <w:bookmarkStart w:id="138" w:name="_Hlk20575555"/>
      <w:r>
        <w:rPr>
          <w:rFonts w:hint="eastAsia" w:ascii="微软雅黑 Light" w:hAnsi="微软雅黑 Light" w:eastAsia="微软雅黑 Light" w:cs="Times New Roman"/>
          <w:kern w:val="2"/>
          <w:sz w:val="21"/>
          <w:szCs w:val="21"/>
        </w:rPr>
        <w:t>需要上报数据库中原始数据，上报的数据具有可读性，如原始数据为编码，则需要转换为对应的可读性名称（数据表中明确要求以医院本身编码方式上报的变量除外）。</w:t>
      </w:r>
      <w:bookmarkEnd w:id="138"/>
    </w:p>
    <w:p>
      <w:pPr>
        <w:pStyle w:val="16"/>
      </w:pPr>
      <w:bookmarkStart w:id="139" w:name="_Toc27826"/>
      <w:r>
        <w:rPr>
          <w:rFonts w:hint="eastAsia"/>
        </w:rPr>
        <w:t>数据上报方案</w:t>
      </w:r>
      <w:bookmarkEnd w:id="139"/>
    </w:p>
    <w:p>
      <w:pPr>
        <w:pStyle w:val="14"/>
        <w:numPr>
          <w:ilvl w:val="1"/>
          <w:numId w:val="7"/>
        </w:numPr>
      </w:pPr>
      <w:bookmarkStart w:id="140" w:name="_Toc30753"/>
      <w:r>
        <w:rPr>
          <w:rFonts w:hint="eastAsia"/>
        </w:rPr>
        <w:t>上报时间要求</w:t>
      </w:r>
      <w:bookmarkEnd w:id="140"/>
    </w:p>
    <w:p>
      <w:pPr>
        <w:pStyle w:val="9"/>
        <w:spacing w:line="400" w:lineRule="exact"/>
        <w:ind w:left="284" w:firstLine="420" w:firstLineChars="200"/>
        <w:rPr>
          <w:rFonts w:ascii="微软雅黑 Light" w:hAnsi="微软雅黑 Light" w:eastAsia="微软雅黑 Light" w:cs="Times New Roman"/>
          <w:kern w:val="2"/>
          <w:sz w:val="21"/>
          <w:szCs w:val="21"/>
        </w:rPr>
      </w:pPr>
      <w:r>
        <w:rPr>
          <w:rFonts w:hint="eastAsia" w:ascii="微软雅黑 Light" w:hAnsi="微软雅黑 Light" w:eastAsia="微软雅黑 Light" w:cs="Times New Roman"/>
          <w:kern w:val="2"/>
          <w:sz w:val="21"/>
          <w:szCs w:val="21"/>
        </w:rPr>
        <w:t>根据通知要求，医疗单位需要在当月2</w:t>
      </w:r>
      <w:r>
        <w:rPr>
          <w:rFonts w:ascii="微软雅黑 Light" w:hAnsi="微软雅黑 Light" w:eastAsia="微软雅黑 Light" w:cs="Times New Roman"/>
          <w:kern w:val="2"/>
          <w:sz w:val="21"/>
          <w:szCs w:val="21"/>
        </w:rPr>
        <w:t>0</w:t>
      </w:r>
      <w:r>
        <w:rPr>
          <w:rFonts w:hint="eastAsia" w:ascii="微软雅黑 Light" w:hAnsi="微软雅黑 Light" w:eastAsia="微软雅黑 Light" w:cs="Times New Roman"/>
          <w:kern w:val="2"/>
          <w:sz w:val="21"/>
          <w:szCs w:val="21"/>
        </w:rPr>
        <w:t>日之前将上个月满足条件的患者数据上报至数据平台，为保证上个月出院患者信息完整性，建议当月1</w:t>
      </w:r>
      <w:r>
        <w:rPr>
          <w:rFonts w:ascii="微软雅黑 Light" w:hAnsi="微软雅黑 Light" w:eastAsia="微软雅黑 Light" w:cs="Times New Roman"/>
          <w:kern w:val="2"/>
          <w:sz w:val="21"/>
          <w:szCs w:val="21"/>
        </w:rPr>
        <w:t>0</w:t>
      </w:r>
      <w:r>
        <w:rPr>
          <w:rFonts w:hint="eastAsia" w:ascii="微软雅黑 Light" w:hAnsi="微软雅黑 Light" w:eastAsia="微软雅黑 Light" w:cs="Times New Roman"/>
          <w:kern w:val="2"/>
          <w:sz w:val="21"/>
          <w:szCs w:val="21"/>
        </w:rPr>
        <w:t>日开始上报上个月满足条件的患者数据。</w:t>
      </w:r>
    </w:p>
    <w:p>
      <w:pPr>
        <w:pStyle w:val="14"/>
      </w:pPr>
      <w:bookmarkStart w:id="141" w:name="_Toc30112"/>
      <w:r>
        <w:rPr>
          <w:rFonts w:hint="eastAsia"/>
        </w:rPr>
        <w:t>数据上报流程</w:t>
      </w:r>
      <w:bookmarkEnd w:id="141"/>
    </w:p>
    <w:p>
      <w:pPr>
        <w:pStyle w:val="9"/>
        <w:spacing w:line="400" w:lineRule="exact"/>
        <w:ind w:left="284" w:firstLine="420" w:firstLineChars="200"/>
        <w:rPr>
          <w:rFonts w:ascii="微软雅黑 Light" w:hAnsi="微软雅黑 Light" w:eastAsia="微软雅黑 Light" w:cs="Times New Roman"/>
          <w:kern w:val="2"/>
          <w:sz w:val="21"/>
          <w:szCs w:val="21"/>
        </w:rPr>
      </w:pPr>
      <w:r>
        <w:rPr>
          <w:rFonts w:hint="eastAsia" w:ascii="微软雅黑 Light" w:hAnsi="微软雅黑 Light" w:eastAsia="微软雅黑 Light" w:cs="Times New Roman"/>
          <w:kern w:val="2"/>
          <w:sz w:val="21"/>
          <w:szCs w:val="21"/>
          <w:lang w:val="en-US" w:eastAsia="zh-CN"/>
        </w:rPr>
        <w:t>通过同步工具，将</w:t>
      </w:r>
      <w:r>
        <w:rPr>
          <w:rFonts w:hint="eastAsia" w:ascii="微软雅黑 Light" w:hAnsi="微软雅黑 Light" w:eastAsia="微软雅黑 Light" w:cs="Times New Roman"/>
          <w:kern w:val="2"/>
          <w:sz w:val="21"/>
          <w:szCs w:val="21"/>
        </w:rPr>
        <w:t>满足条件的患者</w:t>
      </w:r>
      <w:r>
        <w:rPr>
          <w:rFonts w:hint="eastAsia" w:ascii="微软雅黑 Light" w:hAnsi="微软雅黑 Light" w:eastAsia="微软雅黑 Light" w:cs="Times New Roman"/>
          <w:kern w:val="2"/>
          <w:sz w:val="21"/>
          <w:szCs w:val="21"/>
          <w:lang w:val="en-US" w:eastAsia="zh-CN"/>
        </w:rPr>
        <w:t>数据定时插入指定前置机服务器数据库，由前置机软件自动上传至国家</w:t>
      </w:r>
      <w:r>
        <w:rPr>
          <w:rFonts w:hint="eastAsia" w:ascii="微软雅黑 Light" w:hAnsi="微软雅黑 Light" w:eastAsia="微软雅黑 Light" w:cs="Times New Roman"/>
          <w:kern w:val="2"/>
          <w:sz w:val="21"/>
          <w:szCs w:val="21"/>
        </w:rPr>
        <w:t>。</w:t>
      </w:r>
    </w:p>
    <w:p>
      <w:pPr>
        <w:pStyle w:val="14"/>
      </w:pPr>
      <w:bookmarkStart w:id="142" w:name="_Toc8555"/>
      <w:r>
        <w:rPr>
          <w:rFonts w:hint="eastAsia"/>
        </w:rPr>
        <w:t>数据采集流程</w:t>
      </w:r>
      <w:bookmarkEnd w:id="142"/>
    </w:p>
    <w:p>
      <w:pPr>
        <w:pStyle w:val="17"/>
      </w:pPr>
      <w:r>
        <w:rPr>
          <w:rFonts w:hint="eastAsia" w:ascii="微软雅黑 Light" w:hAnsi="微软雅黑 Light" w:eastAsia="微软雅黑 Light" w:cs="Times New Roman"/>
          <w:kern w:val="2"/>
          <w:sz w:val="21"/>
          <w:szCs w:val="21"/>
          <w:lang w:val="en-US" w:eastAsia="zh-CN"/>
        </w:rPr>
        <w:tab/>
      </w:r>
      <w:r>
        <w:rPr>
          <w:rFonts w:hint="eastAsia" w:ascii="微软雅黑 Light" w:hAnsi="微软雅黑 Light" w:eastAsia="微软雅黑 Light" w:cs="Times New Roman"/>
          <w:kern w:val="2"/>
          <w:sz w:val="21"/>
          <w:szCs w:val="21"/>
          <w:lang w:val="en-US" w:eastAsia="zh-CN"/>
        </w:rPr>
        <w:t xml:space="preserve">  </w:t>
      </w:r>
      <w:r>
        <w:rPr>
          <w:rFonts w:hint="eastAsia" w:ascii="微软雅黑 Light" w:hAnsi="微软雅黑 Light" w:eastAsia="微软雅黑 Light" w:cs="Times New Roman"/>
          <w:kern w:val="2"/>
          <w:sz w:val="21"/>
          <w:szCs w:val="21"/>
        </w:rPr>
        <w:t>上报患者数据时，需要先根据出院时间和就诊时间判断是否满足上报时间段，然后再根据患者诊断信息判断是否满足数据上报要求。</w:t>
      </w:r>
    </w:p>
    <w:p>
      <w:pPr>
        <w:rPr>
          <w:rFonts w:hint="eastAsia" w:eastAsia="宋体"/>
          <w:sz w:val="24"/>
          <w:lang w:eastAsia="zh-CN"/>
        </w:rPr>
      </w:pPr>
    </w:p>
    <w:p>
      <w:pPr>
        <w:jc w:val="center"/>
        <w:rPr>
          <w:rFonts w:hint="eastAsia"/>
          <w:b/>
          <w:sz w:val="24"/>
          <w:lang w:eastAsia="zh-Hans"/>
        </w:rPr>
      </w:pPr>
      <w:r>
        <w:rPr>
          <w:rFonts w:hint="eastAsia"/>
          <w:b/>
          <w:sz w:val="24"/>
          <w:lang w:val="en-US" w:eastAsia="zh-CN"/>
        </w:rPr>
        <w:t>数据同步软件功能</w:t>
      </w:r>
    </w:p>
    <w:tbl>
      <w:tblPr>
        <w:tblStyle w:val="12"/>
        <w:tblW w:w="4970" w:type="pct"/>
        <w:tblCellSpacing w:w="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0"/>
        <w:gridCol w:w="2482"/>
        <w:gridCol w:w="5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CellSpacing w:w="0" w:type="dxa"/>
        </w:trPr>
        <w:tc>
          <w:tcPr>
            <w:tcW w:w="849"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序号</w:t>
            </w:r>
          </w:p>
        </w:tc>
        <w:tc>
          <w:tcPr>
            <w:tcW w:w="1334"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rPr>
            </w:pPr>
            <w:r>
              <w:rPr>
                <w:rFonts w:hint="eastAsia" w:ascii="仿宋" w:hAnsi="仿宋" w:eastAsia="仿宋" w:cs="仿宋"/>
                <w:b/>
                <w:bCs/>
                <w:color w:val="000000"/>
                <w:sz w:val="24"/>
                <w:szCs w:val="24"/>
              </w:rPr>
              <w:t>技术和性能参数名称</w:t>
            </w:r>
          </w:p>
        </w:tc>
        <w:tc>
          <w:tcPr>
            <w:tcW w:w="2816"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rPr>
            </w:pPr>
            <w:r>
              <w:rPr>
                <w:rFonts w:hint="eastAsia" w:ascii="仿宋" w:hAnsi="仿宋" w:eastAsia="仿宋" w:cs="仿宋"/>
                <w:b/>
                <w:bCs/>
                <w:color w:val="000000"/>
                <w:sz w:val="24"/>
                <w:szCs w:val="24"/>
              </w:rPr>
              <w:t>技术和性能参数要求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trPr>
        <w:tc>
          <w:tcPr>
            <w:tcW w:w="849"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334"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rPr>
            </w:pPr>
            <w:r>
              <w:rPr>
                <w:rFonts w:hint="eastAsia" w:ascii="仿宋" w:hAnsi="仿宋" w:eastAsia="仿宋" w:cs="仿宋"/>
                <w:color w:val="000000"/>
                <w:sz w:val="24"/>
                <w:szCs w:val="24"/>
              </w:rPr>
              <w:t>客户端配置</w:t>
            </w:r>
          </w:p>
        </w:tc>
        <w:tc>
          <w:tcPr>
            <w:tcW w:w="2816"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1、可</w:t>
            </w:r>
            <w:r>
              <w:rPr>
                <w:rFonts w:hint="eastAsia" w:ascii="仿宋" w:hAnsi="仿宋" w:eastAsia="仿宋" w:cs="仿宋"/>
                <w:color w:val="000000"/>
                <w:sz w:val="24"/>
                <w:szCs w:val="24"/>
              </w:rPr>
              <w:t>配置医院名称，医院编码</w:t>
            </w:r>
            <w:r>
              <w:rPr>
                <w:rFonts w:hint="eastAsia" w:ascii="仿宋" w:hAnsi="仿宋" w:eastAsia="仿宋" w:cs="仿宋"/>
                <w:color w:val="000000"/>
                <w:sz w:val="24"/>
                <w:szCs w:val="24"/>
                <w:lang w:val="en-US" w:eastAsia="zh-CN"/>
              </w:rPr>
              <w:t>等数据</w:t>
            </w:r>
          </w:p>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具有客户端认证功能：</w:t>
            </w:r>
            <w:r>
              <w:rPr>
                <w:rFonts w:hint="eastAsia" w:ascii="仿宋" w:hAnsi="仿宋" w:eastAsia="仿宋" w:cs="仿宋"/>
                <w:color w:val="000000"/>
                <w:sz w:val="24"/>
                <w:szCs w:val="24"/>
              </w:rPr>
              <w:t>认证医院编码，医院名称</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认证不通过</w:t>
            </w:r>
            <w:r>
              <w:rPr>
                <w:rFonts w:hint="eastAsia" w:ascii="仿宋" w:hAnsi="仿宋" w:eastAsia="仿宋" w:cs="仿宋"/>
                <w:color w:val="000000"/>
                <w:sz w:val="24"/>
                <w:szCs w:val="24"/>
                <w:lang w:val="en-US" w:eastAsia="zh-CN"/>
              </w:rPr>
              <w:t>不允许保存</w:t>
            </w:r>
          </w:p>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2、具备</w:t>
            </w:r>
            <w:r>
              <w:rPr>
                <w:rFonts w:hint="eastAsia" w:ascii="仿宋" w:hAnsi="仿宋" w:eastAsia="仿宋" w:cs="仿宋"/>
                <w:color w:val="000000"/>
                <w:sz w:val="24"/>
                <w:szCs w:val="24"/>
              </w:rPr>
              <w:t>本地连接</w:t>
            </w:r>
            <w:r>
              <w:rPr>
                <w:rFonts w:hint="eastAsia" w:ascii="仿宋" w:hAnsi="仿宋" w:eastAsia="仿宋" w:cs="仿宋"/>
                <w:color w:val="000000"/>
                <w:sz w:val="24"/>
                <w:szCs w:val="24"/>
                <w:lang w:val="en-US" w:eastAsia="zh-CN"/>
              </w:rPr>
              <w:t>和</w:t>
            </w:r>
            <w:r>
              <w:rPr>
                <w:rFonts w:hint="eastAsia" w:ascii="仿宋" w:hAnsi="仿宋" w:eastAsia="仿宋" w:cs="仿宋"/>
                <w:color w:val="000000"/>
                <w:sz w:val="24"/>
                <w:szCs w:val="24"/>
              </w:rPr>
              <w:t>服务连接</w:t>
            </w:r>
            <w:r>
              <w:rPr>
                <w:rFonts w:hint="eastAsia" w:ascii="仿宋" w:hAnsi="仿宋" w:eastAsia="仿宋" w:cs="仿宋"/>
                <w:color w:val="000000"/>
                <w:sz w:val="24"/>
                <w:szCs w:val="24"/>
                <w:lang w:val="en-US" w:eastAsia="zh-CN"/>
              </w:rPr>
              <w:t>两种数据连接方式</w:t>
            </w:r>
          </w:p>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3、具备连接测试功能：</w:t>
            </w:r>
            <w:r>
              <w:rPr>
                <w:rFonts w:hint="eastAsia" w:ascii="仿宋" w:hAnsi="仿宋" w:eastAsia="仿宋" w:cs="仿宋"/>
                <w:color w:val="000000"/>
                <w:sz w:val="24"/>
                <w:szCs w:val="24"/>
              </w:rPr>
              <w:t>即测试配置的连接串是否能连接上数据库</w:t>
            </w:r>
            <w:r>
              <w:rPr>
                <w:rFonts w:hint="eastAsia" w:ascii="仿宋" w:hAnsi="仿宋" w:eastAsia="仿宋" w:cs="仿宋"/>
                <w:color w:val="000000"/>
                <w:sz w:val="24"/>
                <w:szCs w:val="24"/>
                <w:lang w:eastAsia="zh-CN"/>
              </w:rPr>
              <w:t>。</w:t>
            </w:r>
          </w:p>
          <w:p>
            <w:pPr>
              <w:pStyle w:val="10"/>
              <w:widowControl/>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4、具备记录错误日志记录功能，并可配置日志生成路径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trPr>
        <w:tc>
          <w:tcPr>
            <w:tcW w:w="849"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334"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数据库配置</w:t>
            </w:r>
          </w:p>
        </w:tc>
        <w:tc>
          <w:tcPr>
            <w:tcW w:w="2816"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1、可自定义在文本框新建、保存、删除数据库连接必要内容</w:t>
            </w:r>
          </w:p>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2、支持数据库服务类型、服务器ip、用户名、密码、端口号配置，并具有密码加密功能</w:t>
            </w:r>
          </w:p>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3、支持ORACLE、SQLSERVER、MYSQL等数据库类型</w:t>
            </w:r>
          </w:p>
          <w:p>
            <w:pPr>
              <w:pStyle w:val="10"/>
              <w:widowControl/>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4、支持数据库连接方式、编码方式、解码方式下拉框选择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trPr>
        <w:tc>
          <w:tcPr>
            <w:tcW w:w="849"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334"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数据表配置</w:t>
            </w:r>
          </w:p>
        </w:tc>
        <w:tc>
          <w:tcPr>
            <w:tcW w:w="2816" w:type="pct"/>
            <w:shd w:val="clear" w:color="auto" w:fill="FFFFFF"/>
            <w:noWrap w:val="0"/>
            <w:tcMar>
              <w:top w:w="100" w:type="dxa"/>
              <w:left w:w="170" w:type="dxa"/>
              <w:bottom w:w="100" w:type="dxa"/>
              <w:right w:w="170" w:type="dxa"/>
            </w:tcMar>
            <w:vAlign w:val="center"/>
          </w:tcPr>
          <w:p>
            <w:pPr>
              <w:pStyle w:val="10"/>
              <w:widowControl/>
              <w:numPr>
                <w:ilvl w:val="0"/>
                <w:numId w:val="0"/>
              </w:numP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SA"/>
              </w:rPr>
              <w:t>1、</w:t>
            </w:r>
            <w:r>
              <w:rPr>
                <w:rFonts w:hint="eastAsia" w:ascii="仿宋" w:hAnsi="仿宋" w:eastAsia="仿宋" w:cs="仿宋"/>
                <w:color w:val="000000"/>
                <w:sz w:val="24"/>
                <w:szCs w:val="24"/>
                <w:lang w:val="en-US" w:eastAsia="zh-CN"/>
              </w:rPr>
              <w:t>可通过右键自动添加读取同步项目，并在配置界面显示</w:t>
            </w:r>
          </w:p>
          <w:p>
            <w:pPr>
              <w:pStyle w:val="10"/>
              <w:widowControl/>
              <w:numPr>
                <w:ilvl w:val="0"/>
                <w:numId w:val="0"/>
              </w:num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2、可通过下拉框自动读取数据源字段信息</w:t>
            </w:r>
          </w:p>
          <w:p>
            <w:pPr>
              <w:pStyle w:val="10"/>
              <w:widowControl/>
              <w:numPr>
                <w:ilvl w:val="0"/>
                <w:numId w:val="0"/>
              </w:num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3、可通过右键进行数据字段(列名、类型、字典、默认值、主键、更新、计算方式、格式等)对照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trPr>
        <w:tc>
          <w:tcPr>
            <w:tcW w:w="849"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334" w:type="pct"/>
            <w:shd w:val="clear" w:color="auto" w:fill="FFFFFF"/>
            <w:noWrap w:val="0"/>
            <w:tcMar>
              <w:top w:w="100" w:type="dxa"/>
              <w:left w:w="170" w:type="dxa"/>
              <w:bottom w:w="100" w:type="dxa"/>
              <w:right w:w="170" w:type="dxa"/>
            </w:tcMar>
            <w:vAlign w:val="center"/>
          </w:tcPr>
          <w:p>
            <w:pPr>
              <w:pStyle w:val="10"/>
              <w:widowControl/>
              <w:numPr>
                <w:ilvl w:val="0"/>
                <w:numId w:val="0"/>
              </w:numP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数据字典配置</w:t>
            </w:r>
          </w:p>
        </w:tc>
        <w:tc>
          <w:tcPr>
            <w:tcW w:w="2816" w:type="pct"/>
            <w:shd w:val="clear" w:color="auto" w:fill="FFFFFF"/>
            <w:noWrap w:val="0"/>
            <w:tcMar>
              <w:top w:w="100" w:type="dxa"/>
              <w:left w:w="170" w:type="dxa"/>
              <w:bottom w:w="100" w:type="dxa"/>
              <w:right w:w="170" w:type="dxa"/>
            </w:tcMar>
            <w:vAlign w:val="center"/>
          </w:tcPr>
          <w:p>
            <w:pPr>
              <w:pStyle w:val="10"/>
              <w:widowControl/>
              <w:numPr>
                <w:ilvl w:val="0"/>
                <w:numId w:val="0"/>
              </w:numP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1、支持自定义添加字典类别</w:t>
            </w:r>
          </w:p>
          <w:p>
            <w:pPr>
              <w:pStyle w:val="10"/>
              <w:widowControl/>
              <w:numPr>
                <w:ilvl w:val="0"/>
                <w:numId w:val="0"/>
              </w:numP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2、可显示项目原始值和本地经过转换后值对比</w:t>
            </w:r>
          </w:p>
          <w:p>
            <w:pPr>
              <w:pStyle w:val="10"/>
              <w:widowControl/>
              <w:numPr>
                <w:ilvl w:val="0"/>
                <w:numId w:val="0"/>
              </w:numP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3、支持选择EXCEL进行字典导入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trPr>
        <w:tc>
          <w:tcPr>
            <w:tcW w:w="849"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334" w:type="pct"/>
            <w:shd w:val="clear" w:color="auto" w:fill="FFFFFF"/>
            <w:noWrap w:val="0"/>
            <w:tcMar>
              <w:top w:w="100" w:type="dxa"/>
              <w:left w:w="170" w:type="dxa"/>
              <w:bottom w:w="100" w:type="dxa"/>
              <w:right w:w="170" w:type="dxa"/>
            </w:tcMar>
            <w:vAlign w:val="center"/>
          </w:tcPr>
          <w:p>
            <w:pPr>
              <w:pStyle w:val="10"/>
              <w:widowControl/>
              <w:numPr>
                <w:ilvl w:val="0"/>
                <w:numId w:val="0"/>
              </w:numP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同步列表</w:t>
            </w:r>
          </w:p>
        </w:tc>
        <w:tc>
          <w:tcPr>
            <w:tcW w:w="2816" w:type="pct"/>
            <w:shd w:val="clear" w:color="auto" w:fill="FFFFFF"/>
            <w:noWrap w:val="0"/>
            <w:tcMar>
              <w:top w:w="100" w:type="dxa"/>
              <w:left w:w="170" w:type="dxa"/>
              <w:bottom w:w="100" w:type="dxa"/>
              <w:right w:w="170" w:type="dxa"/>
            </w:tcMar>
            <w:vAlign w:val="center"/>
          </w:tcPr>
          <w:p>
            <w:pPr>
              <w:pStyle w:val="10"/>
              <w:widowControl/>
              <w:numPr>
                <w:ilvl w:val="0"/>
                <w:numId w:val="0"/>
              </w:numP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1、可通过任务列表查看同步任务信息，包括：序号、任务名称、执行频率、开始时间、结束时间、运行状态、任务描述、开启关闭状态等</w:t>
            </w:r>
          </w:p>
          <w:p>
            <w:pPr>
              <w:pStyle w:val="10"/>
              <w:widowControl/>
              <w:numPr>
                <w:ilvl w:val="0"/>
                <w:numId w:val="0"/>
              </w:numP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2、支持同步任务的新建、删除功能</w:t>
            </w:r>
          </w:p>
          <w:p>
            <w:pPr>
              <w:pStyle w:val="10"/>
              <w:widowControl/>
              <w:numPr>
                <w:ilvl w:val="0"/>
                <w:numId w:val="0"/>
              </w:numP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3、支持数据库表、视图、Webservice的同步方式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trPr>
        <w:tc>
          <w:tcPr>
            <w:tcW w:w="849" w:type="pct"/>
            <w:shd w:val="clear" w:color="auto" w:fill="FFFFFF"/>
            <w:noWrap w:val="0"/>
            <w:tcMar>
              <w:top w:w="100" w:type="dxa"/>
              <w:left w:w="170" w:type="dxa"/>
              <w:bottom w:w="100" w:type="dxa"/>
              <w:right w:w="170" w:type="dxa"/>
            </w:tcMar>
            <w:vAlign w:val="center"/>
          </w:tcPr>
          <w:p>
            <w:pPr>
              <w:pStyle w:val="10"/>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1334" w:type="pct"/>
            <w:shd w:val="clear" w:color="auto" w:fill="FFFFFF"/>
            <w:noWrap w:val="0"/>
            <w:tcMar>
              <w:top w:w="100" w:type="dxa"/>
              <w:left w:w="170" w:type="dxa"/>
              <w:bottom w:w="100" w:type="dxa"/>
              <w:right w:w="170" w:type="dxa"/>
            </w:tcMar>
            <w:vAlign w:val="center"/>
          </w:tcPr>
          <w:p>
            <w:pPr>
              <w:pStyle w:val="10"/>
              <w:widowControl/>
              <w:numPr>
                <w:ilvl w:val="0"/>
                <w:numId w:val="0"/>
              </w:numP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日志及同步内容</w:t>
            </w:r>
          </w:p>
        </w:tc>
        <w:tc>
          <w:tcPr>
            <w:tcW w:w="2816" w:type="pct"/>
            <w:shd w:val="clear" w:color="auto" w:fill="FFFFFF"/>
            <w:noWrap w:val="0"/>
            <w:tcMar>
              <w:top w:w="100" w:type="dxa"/>
              <w:left w:w="170" w:type="dxa"/>
              <w:bottom w:w="100" w:type="dxa"/>
              <w:right w:w="170" w:type="dxa"/>
            </w:tcMar>
            <w:vAlign w:val="center"/>
          </w:tcPr>
          <w:p>
            <w:pPr>
              <w:pStyle w:val="10"/>
              <w:widowControl/>
              <w:numPr>
                <w:ilvl w:val="0"/>
                <w:numId w:val="0"/>
              </w:numP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1、可记录同步过程中产生的错误日志包括：发生时间、错误描述、日志级别等内容</w:t>
            </w:r>
          </w:p>
          <w:p>
            <w:pPr>
              <w:pStyle w:val="10"/>
              <w:widowControl/>
              <w:numPr>
                <w:ilvl w:val="0"/>
                <w:numId w:val="0"/>
              </w:numP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2、可记录同步内容信息包括：任务名称、开始时间、结束时间、同步内容等</w:t>
            </w:r>
          </w:p>
        </w:tc>
      </w:tr>
    </w:tbl>
    <w:p>
      <w:pPr>
        <w:rPr>
          <w:rFonts w:hint="default"/>
          <w:lang w:val="en-US" w:eastAsia="zh-CN"/>
        </w:rPr>
      </w:pPr>
    </w:p>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F12C0"/>
    <w:multiLevelType w:val="multilevel"/>
    <w:tmpl w:val="0C2F12C0"/>
    <w:lvl w:ilvl="0" w:tentative="0">
      <w:start w:val="1"/>
      <w:numFmt w:val="decimal"/>
      <w:lvlText w:val="%1）"/>
      <w:lvlJc w:val="left"/>
      <w:pPr>
        <w:ind w:left="1064" w:hanging="36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1">
    <w:nsid w:val="1DEA5B90"/>
    <w:multiLevelType w:val="multilevel"/>
    <w:tmpl w:val="1DEA5B90"/>
    <w:lvl w:ilvl="0" w:tentative="0">
      <w:start w:val="1"/>
      <w:numFmt w:val="decimal"/>
      <w:lvlText w:val="%1）"/>
      <w:lvlJc w:val="left"/>
      <w:pPr>
        <w:ind w:left="1064" w:hanging="36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2">
    <w:nsid w:val="35B23119"/>
    <w:multiLevelType w:val="multilevel"/>
    <w:tmpl w:val="35B23119"/>
    <w:lvl w:ilvl="0" w:tentative="0">
      <w:start w:val="1"/>
      <w:numFmt w:val="decimal"/>
      <w:pStyle w:val="16"/>
      <w:lvlText w:val="%1"/>
      <w:lvlJc w:val="left"/>
      <w:pPr>
        <w:ind w:left="425" w:hanging="425"/>
      </w:pPr>
      <w:rPr>
        <w:rFonts w:hint="eastAsia"/>
      </w:rPr>
    </w:lvl>
    <w:lvl w:ilvl="1" w:tentative="0">
      <w:start w:val="1"/>
      <w:numFmt w:val="decimal"/>
      <w:pStyle w:val="14"/>
      <w:lvlText w:val="%1.%2"/>
      <w:lvlJc w:val="left"/>
      <w:pPr>
        <w:ind w:left="992" w:hanging="567"/>
      </w:pPr>
      <w:rPr>
        <w:rFonts w:hint="eastAsia"/>
      </w:rPr>
    </w:lvl>
    <w:lvl w:ilvl="2" w:tentative="0">
      <w:start w:val="1"/>
      <w:numFmt w:val="decimal"/>
      <w:pStyle w:val="1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1692B53"/>
    <w:multiLevelType w:val="multilevel"/>
    <w:tmpl w:val="41692B53"/>
    <w:lvl w:ilvl="0" w:tentative="0">
      <w:start w:val="1"/>
      <w:numFmt w:val="bullet"/>
      <w:lvlText w:val=""/>
      <w:lvlJc w:val="left"/>
      <w:pPr>
        <w:ind w:left="1124" w:hanging="420"/>
      </w:pPr>
      <w:rPr>
        <w:rFonts w:hint="default" w:ascii="Wingdings" w:hAnsi="Wingdings"/>
      </w:rPr>
    </w:lvl>
    <w:lvl w:ilvl="1" w:tentative="0">
      <w:start w:val="1"/>
      <w:numFmt w:val="bullet"/>
      <w:lvlText w:val=""/>
      <w:lvlJc w:val="left"/>
      <w:pPr>
        <w:ind w:left="1544" w:hanging="420"/>
      </w:pPr>
      <w:rPr>
        <w:rFonts w:hint="default" w:ascii="Wingdings" w:hAnsi="Wingdings"/>
      </w:rPr>
    </w:lvl>
    <w:lvl w:ilvl="2" w:tentative="0">
      <w:start w:val="1"/>
      <w:numFmt w:val="bullet"/>
      <w:lvlText w:val=""/>
      <w:lvlJc w:val="left"/>
      <w:pPr>
        <w:ind w:left="1964" w:hanging="420"/>
      </w:pPr>
      <w:rPr>
        <w:rFonts w:hint="default" w:ascii="Wingdings" w:hAnsi="Wingdings"/>
      </w:rPr>
    </w:lvl>
    <w:lvl w:ilvl="3" w:tentative="0">
      <w:start w:val="1"/>
      <w:numFmt w:val="bullet"/>
      <w:lvlText w:val=""/>
      <w:lvlJc w:val="left"/>
      <w:pPr>
        <w:ind w:left="2384" w:hanging="420"/>
      </w:pPr>
      <w:rPr>
        <w:rFonts w:hint="default" w:ascii="Wingdings" w:hAnsi="Wingdings"/>
      </w:rPr>
    </w:lvl>
    <w:lvl w:ilvl="4" w:tentative="0">
      <w:start w:val="1"/>
      <w:numFmt w:val="bullet"/>
      <w:lvlText w:val=""/>
      <w:lvlJc w:val="left"/>
      <w:pPr>
        <w:ind w:left="2804" w:hanging="420"/>
      </w:pPr>
      <w:rPr>
        <w:rFonts w:hint="default" w:ascii="Wingdings" w:hAnsi="Wingdings"/>
      </w:rPr>
    </w:lvl>
    <w:lvl w:ilvl="5" w:tentative="0">
      <w:start w:val="1"/>
      <w:numFmt w:val="bullet"/>
      <w:lvlText w:val=""/>
      <w:lvlJc w:val="left"/>
      <w:pPr>
        <w:ind w:left="3224" w:hanging="420"/>
      </w:pPr>
      <w:rPr>
        <w:rFonts w:hint="default" w:ascii="Wingdings" w:hAnsi="Wingdings"/>
      </w:rPr>
    </w:lvl>
    <w:lvl w:ilvl="6" w:tentative="0">
      <w:start w:val="1"/>
      <w:numFmt w:val="bullet"/>
      <w:lvlText w:val=""/>
      <w:lvlJc w:val="left"/>
      <w:pPr>
        <w:ind w:left="3644" w:hanging="420"/>
      </w:pPr>
      <w:rPr>
        <w:rFonts w:hint="default" w:ascii="Wingdings" w:hAnsi="Wingdings"/>
      </w:rPr>
    </w:lvl>
    <w:lvl w:ilvl="7" w:tentative="0">
      <w:start w:val="1"/>
      <w:numFmt w:val="bullet"/>
      <w:lvlText w:val=""/>
      <w:lvlJc w:val="left"/>
      <w:pPr>
        <w:ind w:left="4064" w:hanging="420"/>
      </w:pPr>
      <w:rPr>
        <w:rFonts w:hint="default" w:ascii="Wingdings" w:hAnsi="Wingdings"/>
      </w:rPr>
    </w:lvl>
    <w:lvl w:ilvl="8" w:tentative="0">
      <w:start w:val="1"/>
      <w:numFmt w:val="bullet"/>
      <w:lvlText w:val=""/>
      <w:lvlJc w:val="left"/>
      <w:pPr>
        <w:ind w:left="4484" w:hanging="420"/>
      </w:pPr>
      <w:rPr>
        <w:rFonts w:hint="default" w:ascii="Wingdings" w:hAnsi="Wingdings"/>
      </w:rPr>
    </w:lvl>
  </w:abstractNum>
  <w:abstractNum w:abstractNumId="4">
    <w:nsid w:val="6EC1331C"/>
    <w:multiLevelType w:val="multilevel"/>
    <w:tmpl w:val="6EC1331C"/>
    <w:lvl w:ilvl="0" w:tentative="0">
      <w:start w:val="1"/>
      <w:numFmt w:val="decimal"/>
      <w:lvlText w:val="%1）"/>
      <w:lvlJc w:val="left"/>
      <w:pPr>
        <w:ind w:left="1064" w:hanging="36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0EC24B6D"/>
    <w:rsid w:val="229A31A5"/>
    <w:rsid w:val="44C3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Plain Text"/>
    <w:basedOn w:val="1"/>
    <w:qFormat/>
    <w:uiPriority w:val="0"/>
    <w:rPr>
      <w:rFonts w:ascii="宋体" w:hAnsi="Courier New"/>
      <w:szCs w:val="22"/>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customStyle="1" w:styleId="14">
    <w:name w:val="样式2"/>
    <w:basedOn w:val="3"/>
    <w:qFormat/>
    <w:uiPriority w:val="0"/>
    <w:pPr>
      <w:numPr>
        <w:ilvl w:val="1"/>
        <w:numId w:val="1"/>
      </w:numPr>
    </w:pPr>
    <w:rPr>
      <w:rFonts w:ascii="微软雅黑 Light" w:hAnsi="微软雅黑 Light" w:eastAsia="微软雅黑 Light"/>
      <w:sz w:val="30"/>
      <w:szCs w:val="30"/>
    </w:rPr>
  </w:style>
  <w:style w:type="paragraph" w:customStyle="1" w:styleId="15">
    <w:name w:val="样式3"/>
    <w:basedOn w:val="4"/>
    <w:qFormat/>
    <w:uiPriority w:val="0"/>
    <w:pPr>
      <w:numPr>
        <w:ilvl w:val="2"/>
        <w:numId w:val="1"/>
      </w:numPr>
    </w:pPr>
    <w:rPr>
      <w:rFonts w:ascii="微软雅黑 Light" w:hAnsi="微软雅黑 Light" w:eastAsia="微软雅黑 Light"/>
      <w:sz w:val="24"/>
      <w:szCs w:val="24"/>
    </w:rPr>
  </w:style>
  <w:style w:type="paragraph" w:customStyle="1" w:styleId="16">
    <w:name w:val="样式1"/>
    <w:basedOn w:val="2"/>
    <w:qFormat/>
    <w:uiPriority w:val="0"/>
    <w:pPr>
      <w:numPr>
        <w:ilvl w:val="0"/>
        <w:numId w:val="1"/>
      </w:numPr>
    </w:pPr>
    <w:rPr>
      <w:rFonts w:ascii="微软雅黑 Light" w:hAnsi="微软雅黑 Light" w:eastAsia="微软雅黑 Light"/>
      <w:sz w:val="36"/>
      <w:szCs w:val="36"/>
    </w:rPr>
  </w:style>
  <w:style w:type="paragraph" w:customStyle="1" w:styleId="17">
    <w:name w:val="Style1"/>
    <w:basedOn w:val="1"/>
    <w:qFormat/>
    <w:uiPriority w:val="0"/>
    <w:pPr>
      <w:widowControl/>
      <w:tabs>
        <w:tab w:val="left" w:pos="-720"/>
      </w:tabs>
      <w:spacing w:after="120"/>
    </w:pPr>
    <w:rPr>
      <w:spacing w:val="-3"/>
      <w:kern w:val="0"/>
      <w:sz w:val="24"/>
      <w:lang w:val="en-AU"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8095</Words>
  <Characters>8985</Characters>
  <Lines>0</Lines>
  <Paragraphs>0</Paragraphs>
  <TotalTime>0</TotalTime>
  <ScaleCrop>false</ScaleCrop>
  <LinksUpToDate>false</LinksUpToDate>
  <CharactersWithSpaces>9042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2024-05-30T08:12:00Z</dcterms:created>
  <dc:creator>Administrator</dc:creator>
  <cp:lastModifiedBy>Administrator</cp:lastModifiedBy>
  <cp:lastPrinted>2024-06-07T02:24:00Z</cp:lastPrinted>
  <dcterms:modified xsi:type="dcterms:W3CDTF">2024-06-11T06:51:33Z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04ECC2F0A54445BA826D143263CE1B71_12</vt:lpwstr>
  </property>
</Properties>
</file>