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宋体" w:hAnsi="宋体"/>
          <w:sz w:val="10"/>
          <w:szCs w:val="10"/>
        </w:rPr>
      </w:pPr>
    </w:p>
    <w:p>
      <w:pPr>
        <w:spacing w:line="360" w:lineRule="auto"/>
        <w:jc w:val="right"/>
        <w:rPr>
          <w:rFonts w:ascii="宋体" w:hAnsi="宋体"/>
          <w:b/>
          <w:bCs/>
          <w:sz w:val="92"/>
          <w:szCs w:val="92"/>
        </w:rPr>
      </w:pPr>
      <w:r>
        <w:rPr>
          <w:rFonts w:hint="eastAsia" w:ascii="宋体" w:hAnsi="宋体"/>
          <w:sz w:val="10"/>
          <w:szCs w:val="10"/>
        </w:rPr>
        <w:t xml:space="preserve">                             </w:t>
      </w:r>
    </w:p>
    <w:p>
      <w:pPr>
        <w:jc w:val="center"/>
        <w:rPr>
          <w:rFonts w:ascii="宋体" w:hAnsi="宋体"/>
          <w:b/>
          <w:bCs/>
          <w:sz w:val="72"/>
          <w:szCs w:val="72"/>
        </w:rPr>
      </w:pPr>
      <w:r>
        <w:rPr>
          <w:rFonts w:hint="eastAsia" w:ascii="宋体" w:hAnsi="宋体"/>
          <w:b/>
          <w:bCs/>
          <w:sz w:val="72"/>
          <w:szCs w:val="7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9"/>
        <w:tabs>
          <w:tab w:val="left" w:pos="703"/>
        </w:tabs>
        <w:rPr>
          <w:rFonts w:hAnsi="宋体"/>
          <w:sz w:val="24"/>
          <w:szCs w:val="24"/>
        </w:rPr>
      </w:pPr>
    </w:p>
    <w:p>
      <w:pPr>
        <w:pStyle w:val="9"/>
        <w:tabs>
          <w:tab w:val="left" w:pos="703"/>
        </w:tabs>
        <w:rPr>
          <w:rFonts w:hAnsi="宋体"/>
          <w:sz w:val="24"/>
          <w:szCs w:val="24"/>
        </w:rPr>
      </w:pPr>
    </w:p>
    <w:tbl>
      <w:tblPr>
        <w:tblStyle w:val="15"/>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项目编号：</w:t>
            </w:r>
          </w:p>
        </w:tc>
        <w:tc>
          <w:tcPr>
            <w:tcW w:w="6543" w:type="dxa"/>
          </w:tcPr>
          <w:p>
            <w:pPr>
              <w:spacing w:before="120" w:after="120"/>
              <w:textAlignment w:val="center"/>
              <w:rPr>
                <w:rFonts w:ascii="宋体" w:hAnsi="宋体" w:cs="宋体"/>
                <w:sz w:val="28"/>
                <w:szCs w:val="36"/>
              </w:rPr>
            </w:pPr>
          </w:p>
        </w:tc>
      </w:tr>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u w:val="none"/>
                <w:lang w:val="en-US" w:eastAsia="zh-CN"/>
              </w:rPr>
              <w:t>黄石</w:t>
            </w:r>
            <w:r>
              <w:rPr>
                <w:rFonts w:hint="eastAsia" w:ascii="宋体" w:hAnsi="宋体" w:eastAsia="宋体" w:cs="宋体"/>
                <w:b w:val="0"/>
                <w:bCs w:val="0"/>
                <w:sz w:val="28"/>
                <w:szCs w:val="28"/>
                <w:u w:val="none"/>
              </w:rPr>
              <w:t>市中心医院</w:t>
            </w:r>
            <w:r>
              <w:rPr>
                <w:rFonts w:hint="eastAsia" w:ascii="宋体" w:hAnsi="宋体" w:eastAsia="宋体" w:cs="宋体"/>
                <w:b w:val="0"/>
                <w:bCs w:val="0"/>
                <w:sz w:val="28"/>
                <w:szCs w:val="28"/>
                <w:u w:val="none"/>
                <w:lang w:eastAsia="zh-CN"/>
              </w:rPr>
              <w:t>（</w:t>
            </w:r>
            <w:r>
              <w:rPr>
                <w:rFonts w:hint="eastAsia" w:ascii="宋体" w:hAnsi="宋体" w:eastAsia="宋体" w:cs="宋体"/>
                <w:b w:val="0"/>
                <w:bCs w:val="0"/>
                <w:sz w:val="28"/>
                <w:szCs w:val="28"/>
                <w:u w:val="none"/>
              </w:rPr>
              <w:t>金山院区</w:t>
            </w:r>
            <w:r>
              <w:rPr>
                <w:rFonts w:hint="eastAsia" w:ascii="宋体" w:hAnsi="宋体" w:eastAsia="宋体" w:cs="宋体"/>
                <w:b w:val="0"/>
                <w:bCs w:val="0"/>
                <w:sz w:val="28"/>
                <w:szCs w:val="28"/>
                <w:u w:val="none"/>
                <w:lang w:eastAsia="zh-CN"/>
              </w:rPr>
              <w:t>）新</w:t>
            </w:r>
            <w:r>
              <w:rPr>
                <w:rFonts w:hint="eastAsia" w:ascii="宋体" w:hAnsi="宋体" w:eastAsia="宋体" w:cs="宋体"/>
                <w:b w:val="0"/>
                <w:bCs w:val="0"/>
                <w:sz w:val="28"/>
                <w:szCs w:val="28"/>
                <w:u w:val="none"/>
              </w:rPr>
              <w:t>增加窗帘采购</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ascii="宋体" w:hAnsi="宋体" w:eastAsia="宋体" w:cs="宋体"/>
                <w:b w:val="0"/>
                <w:bCs w:val="0"/>
                <w:sz w:val="28"/>
                <w:szCs w:val="28"/>
                <w:u w:val="none"/>
              </w:rPr>
              <w:t>窗帘采购</w:t>
            </w:r>
          </w:p>
        </w:tc>
      </w:tr>
    </w:tbl>
    <w:p>
      <w:pPr>
        <w:pStyle w:val="9"/>
        <w:tabs>
          <w:tab w:val="left" w:pos="703"/>
        </w:tabs>
        <w:spacing w:line="360" w:lineRule="auto"/>
        <w:rPr>
          <w:rFonts w:hAnsi="宋体" w:cs="宋体"/>
          <w:kern w:val="21"/>
          <w:sz w:val="24"/>
          <w:szCs w:val="24"/>
        </w:rPr>
      </w:pPr>
    </w:p>
    <w:p>
      <w:pPr>
        <w:pStyle w:val="9"/>
        <w:tabs>
          <w:tab w:val="left" w:pos="703"/>
        </w:tabs>
        <w:spacing w:line="360" w:lineRule="auto"/>
        <w:rPr>
          <w:rFonts w:hAnsi="宋体" w:cs="宋体"/>
          <w:kern w:val="21"/>
          <w:sz w:val="24"/>
          <w:szCs w:val="24"/>
        </w:rPr>
      </w:pPr>
    </w:p>
    <w:p>
      <w:pPr>
        <w:pStyle w:val="9"/>
        <w:tabs>
          <w:tab w:val="left" w:pos="703"/>
        </w:tabs>
        <w:spacing w:line="360" w:lineRule="auto"/>
        <w:rPr>
          <w:rFonts w:hAnsi="宋体" w:cs="宋体"/>
          <w:kern w:val="21"/>
          <w:sz w:val="24"/>
          <w:szCs w:val="24"/>
        </w:rPr>
      </w:pPr>
    </w:p>
    <w:tbl>
      <w:tblPr>
        <w:tblStyle w:val="15"/>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eastAsia="宋体" w:cs="宋体"/>
                <w:b w:val="0"/>
                <w:bCs w:val="0"/>
                <w:sz w:val="28"/>
                <w:szCs w:val="28"/>
                <w:u w:val="none"/>
                <w:lang w:val="en-US" w:eastAsia="zh-CN"/>
              </w:rPr>
              <w:t>黄石</w:t>
            </w:r>
            <w:r>
              <w:rPr>
                <w:rFonts w:hint="eastAsia" w:ascii="宋体" w:hAnsi="宋体" w:cs="宋体"/>
                <w:sz w:val="28"/>
                <w:szCs w:val="36"/>
              </w:rPr>
              <w:t>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3</w:t>
            </w:r>
            <w:r>
              <w:rPr>
                <w:rFonts w:hint="eastAsia" w:ascii="宋体" w:hAnsi="宋体" w:cs="宋体"/>
                <w:sz w:val="28"/>
                <w:szCs w:val="36"/>
              </w:rPr>
              <w:t>年</w:t>
            </w:r>
            <w:r>
              <w:rPr>
                <w:rFonts w:hint="eastAsia" w:ascii="宋体" w:hAnsi="宋体" w:cs="宋体"/>
                <w:sz w:val="28"/>
                <w:szCs w:val="36"/>
                <w:lang w:val="en-US" w:eastAsia="zh-CN"/>
              </w:rPr>
              <w:t>11</w:t>
            </w:r>
            <w:r>
              <w:rPr>
                <w:rFonts w:hint="eastAsia" w:ascii="宋体" w:hAnsi="宋体" w:cs="宋体"/>
                <w:sz w:val="28"/>
                <w:szCs w:val="36"/>
              </w:rPr>
              <w:t>月</w:t>
            </w:r>
          </w:p>
        </w:tc>
      </w:tr>
    </w:tbl>
    <w:p>
      <w:pPr>
        <w:pStyle w:val="14"/>
        <w:jc w:val="both"/>
        <w:rPr>
          <w:b/>
          <w:sz w:val="21"/>
          <w:szCs w:val="36"/>
        </w:rPr>
      </w:pPr>
    </w:p>
    <w:p>
      <w:pPr>
        <w:pStyle w:val="14"/>
        <w:jc w:val="both"/>
        <w:rPr>
          <w:b/>
          <w:sz w:val="21"/>
          <w:szCs w:val="36"/>
        </w:rPr>
      </w:pPr>
    </w:p>
    <w:p>
      <w:pPr>
        <w:pStyle w:val="14"/>
        <w:jc w:val="both"/>
        <w:rPr>
          <w:b/>
          <w:sz w:val="21"/>
          <w:szCs w:val="36"/>
        </w:rPr>
      </w:pPr>
    </w:p>
    <w:p>
      <w:pPr>
        <w:pStyle w:val="35"/>
        <w:jc w:val="center"/>
        <w:rPr>
          <w:rFonts w:hint="eastAsia"/>
        </w:rPr>
      </w:pPr>
    </w:p>
    <w:p>
      <w:pPr>
        <w:rPr>
          <w:rFonts w:hint="eastAsia"/>
        </w:rPr>
      </w:pPr>
    </w:p>
    <w:p>
      <w:pPr>
        <w:pStyle w:val="2"/>
        <w:rPr>
          <w:rFonts w:hint="eastAsia"/>
        </w:rPr>
        <w:sectPr>
          <w:headerReference r:id="rId4" w:type="first"/>
          <w:footerReference r:id="rId6" w:type="first"/>
          <w:headerReference r:id="rId3" w:type="default"/>
          <w:footerReference r:id="rId5" w:type="default"/>
          <w:pgSz w:w="11907" w:h="16840"/>
          <w:pgMar w:top="1021" w:right="1247" w:bottom="1134" w:left="1644" w:header="907" w:footer="907" w:gutter="0"/>
          <w:pgBorders>
            <w:top w:val="none" w:sz="0" w:space="0"/>
            <w:left w:val="none" w:sz="0" w:space="0"/>
            <w:bottom w:val="none" w:sz="0" w:space="0"/>
            <w:right w:val="none" w:sz="0" w:space="0"/>
          </w:pgBorders>
          <w:pgNumType w:fmt="decimal" w:start="1"/>
          <w:cols w:space="720" w:num="1"/>
          <w:titlePg/>
          <w:docGrid w:linePitch="312" w:charSpace="0"/>
        </w:sectPr>
      </w:pPr>
    </w:p>
    <w:p>
      <w:pPr>
        <w:pStyle w:val="4"/>
        <w:numPr>
          <w:ilvl w:val="0"/>
          <w:numId w:val="2"/>
        </w:numPr>
        <w:ind w:left="1546" w:leftChars="0" w:firstLine="0" w:firstLineChars="0"/>
        <w:jc w:val="both"/>
        <w:rPr>
          <w:rFonts w:hint="eastAsia"/>
          <w:sz w:val="44"/>
          <w:szCs w:val="44"/>
        </w:rPr>
      </w:pPr>
      <w:bookmarkStart w:id="0" w:name="_Toc28925"/>
      <w:bookmarkStart w:id="1" w:name="_Toc120411791"/>
      <w:bookmarkStart w:id="2" w:name="_Toc535814464"/>
      <w:bookmarkStart w:id="3" w:name="_Toc535815709"/>
      <w:bookmarkStart w:id="4" w:name="_Toc136229088"/>
      <w:r>
        <w:rPr>
          <w:rFonts w:hint="eastAsia"/>
          <w:sz w:val="44"/>
          <w:szCs w:val="44"/>
        </w:rPr>
        <w:t xml:space="preserve"> 竞争性谈判公告</w:t>
      </w:r>
      <w:bookmarkEnd w:id="0"/>
      <w:bookmarkEnd w:id="1"/>
      <w:bookmarkEnd w:id="2"/>
      <w:bookmarkEnd w:id="3"/>
      <w:bookmarkEnd w:id="4"/>
    </w:p>
    <w:p>
      <w:pPr>
        <w:numPr>
          <w:ilvl w:val="0"/>
          <w:numId w:val="0"/>
        </w:numPr>
        <w:ind w:left="1546" w:leftChars="0"/>
        <w:rPr>
          <w:rFonts w:hint="eastAsia"/>
        </w:rPr>
      </w:pPr>
    </w:p>
    <w:p>
      <w:pPr>
        <w:pStyle w:val="4"/>
        <w:numPr>
          <w:ilvl w:val="0"/>
          <w:numId w:val="0"/>
        </w:numPr>
        <w:ind w:firstLine="480" w:firstLineChars="200"/>
        <w:jc w:val="both"/>
        <w:rPr>
          <w:rFonts w:ascii="宋体" w:hAnsi="宋体" w:cs="宋体"/>
          <w:b w:val="0"/>
          <w:bCs w:val="0"/>
          <w:sz w:val="28"/>
          <w:szCs w:val="36"/>
        </w:rPr>
      </w:pPr>
      <w:r>
        <w:rPr>
          <w:rFonts w:hint="eastAsia" w:ascii="宋体" w:hAnsi="宋体" w:eastAsia="宋体" w:cs="宋体"/>
          <w:b w:val="0"/>
          <w:bCs w:val="0"/>
          <w:sz w:val="24"/>
          <w:szCs w:val="24"/>
          <w:u w:val="none"/>
          <w:lang w:val="en-US" w:eastAsia="zh-CN"/>
        </w:rPr>
        <w:t>黄石</w:t>
      </w:r>
      <w:r>
        <w:rPr>
          <w:rFonts w:hint="eastAsia" w:ascii="宋体" w:hAnsi="宋体"/>
          <w:b w:val="0"/>
          <w:bCs w:val="0"/>
          <w:sz w:val="24"/>
          <w:szCs w:val="24"/>
        </w:rPr>
        <w:t>市中心医院拟对</w:t>
      </w: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金山院区</w:t>
      </w:r>
      <w:r>
        <w:rPr>
          <w:rFonts w:hint="eastAsia" w:ascii="宋体" w:hAnsi="宋体" w:eastAsia="宋体" w:cs="宋体"/>
          <w:b w:val="0"/>
          <w:bCs w:val="0"/>
          <w:sz w:val="24"/>
          <w:szCs w:val="24"/>
          <w:u w:val="none"/>
          <w:lang w:eastAsia="zh-CN"/>
        </w:rPr>
        <w:t>）新</w:t>
      </w:r>
      <w:r>
        <w:rPr>
          <w:rFonts w:hint="eastAsia" w:ascii="宋体" w:hAnsi="宋体" w:eastAsia="宋体" w:cs="宋体"/>
          <w:b w:val="0"/>
          <w:bCs w:val="0"/>
          <w:sz w:val="24"/>
          <w:szCs w:val="24"/>
          <w:u w:val="none"/>
        </w:rPr>
        <w:t>增加窗帘采购</w:t>
      </w:r>
      <w:r>
        <w:rPr>
          <w:rFonts w:hint="eastAsia" w:ascii="宋体" w:hAnsi="宋体"/>
          <w:b w:val="0"/>
          <w:bCs w:val="0"/>
          <w:sz w:val="24"/>
          <w:szCs w:val="24"/>
        </w:rPr>
        <w:t>进行</w:t>
      </w:r>
      <w:r>
        <w:rPr>
          <w:rFonts w:hint="eastAsia" w:ascii="宋体" w:hAnsi="宋体"/>
          <w:b w:val="0"/>
          <w:bCs w:val="0"/>
          <w:sz w:val="24"/>
        </w:rPr>
        <w:t>竞争性谈判采购，欢迎符合资格条件的潜在供应商参与谈判。</w:t>
      </w:r>
    </w:p>
    <w:p>
      <w:pPr>
        <w:widowControl/>
        <w:numPr>
          <w:ilvl w:val="0"/>
          <w:numId w:val="3"/>
        </w:numPr>
        <w:adjustRightInd w:val="0"/>
        <w:snapToGrid w:val="0"/>
        <w:spacing w:afterLines="50" w:line="500" w:lineRule="exact"/>
        <w:ind w:firstLine="482" w:firstLineChars="200"/>
        <w:jc w:val="left"/>
        <w:rPr>
          <w:rFonts w:ascii="宋体" w:hAnsi="宋体" w:cs="宋体"/>
          <w:b/>
          <w:kern w:val="0"/>
          <w:sz w:val="24"/>
        </w:rPr>
      </w:pPr>
      <w:bookmarkStart w:id="5" w:name="_Toc381602681"/>
      <w:r>
        <w:rPr>
          <w:rFonts w:hint="eastAsia" w:ascii="宋体" w:hAnsi="宋体" w:cs="宋体"/>
          <w:b/>
          <w:kern w:val="0"/>
          <w:sz w:val="24"/>
        </w:rPr>
        <w:t>项目概况</w:t>
      </w:r>
      <w:bookmarkEnd w:id="5"/>
      <w:r>
        <w:rPr>
          <w:rFonts w:hint="eastAsia" w:ascii="宋体" w:hAnsi="宋体" w:cs="宋体"/>
          <w:b/>
          <w:kern w:val="0"/>
          <w:sz w:val="24"/>
        </w:rPr>
        <w:t>：</w:t>
      </w:r>
    </w:p>
    <w:p>
      <w:pPr>
        <w:widowControl/>
        <w:numPr>
          <w:ilvl w:val="0"/>
          <w:numId w:val="4"/>
        </w:numPr>
        <w:spacing w:line="360" w:lineRule="auto"/>
        <w:ind w:left="420" w:leftChars="200"/>
        <w:jc w:val="left"/>
        <w:rPr>
          <w:rFonts w:hint="eastAsia" w:ascii="宋体" w:hAnsi="宋体" w:eastAsia="宋体" w:cs="宋体"/>
          <w:b w:val="0"/>
          <w:bCs w:val="0"/>
          <w:sz w:val="24"/>
          <w:szCs w:val="24"/>
          <w:u w:val="none"/>
        </w:rPr>
      </w:pPr>
      <w:r>
        <w:rPr>
          <w:rFonts w:hint="eastAsia" w:ascii="宋体" w:hAnsi="宋体" w:cs="宋体"/>
          <w:kern w:val="0"/>
          <w:sz w:val="24"/>
        </w:rPr>
        <w:t>项目名</w:t>
      </w:r>
      <w:r>
        <w:rPr>
          <w:rFonts w:hint="eastAsia" w:ascii="宋体" w:hAnsi="宋体" w:cs="宋体"/>
          <w:sz w:val="24"/>
        </w:rPr>
        <w:t>称：</w:t>
      </w: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金山院区</w:t>
      </w:r>
      <w:r>
        <w:rPr>
          <w:rFonts w:hint="eastAsia" w:ascii="宋体" w:hAnsi="宋体" w:eastAsia="宋体" w:cs="宋体"/>
          <w:b w:val="0"/>
          <w:bCs w:val="0"/>
          <w:sz w:val="24"/>
          <w:szCs w:val="24"/>
          <w:u w:val="none"/>
          <w:lang w:eastAsia="zh-CN"/>
        </w:rPr>
        <w:t>）新</w:t>
      </w:r>
      <w:r>
        <w:rPr>
          <w:rFonts w:hint="eastAsia" w:ascii="宋体" w:hAnsi="宋体" w:eastAsia="宋体" w:cs="宋体"/>
          <w:b w:val="0"/>
          <w:bCs w:val="0"/>
          <w:sz w:val="24"/>
          <w:szCs w:val="24"/>
          <w:u w:val="none"/>
        </w:rPr>
        <w:t>增加窗帘采购</w:t>
      </w:r>
    </w:p>
    <w:p>
      <w:pPr>
        <w:widowControl/>
        <w:numPr>
          <w:ilvl w:val="0"/>
          <w:numId w:val="0"/>
        </w:numPr>
        <w:spacing w:line="360" w:lineRule="auto"/>
        <w:ind w:firstLine="480" w:firstLineChars="200"/>
        <w:jc w:val="left"/>
        <w:rPr>
          <w:rFonts w:ascii="宋体" w:hAnsi="宋体" w:cs="宋体"/>
          <w:sz w:val="24"/>
        </w:rPr>
      </w:pPr>
      <w:r>
        <w:rPr>
          <w:rFonts w:hint="eastAsia" w:ascii="宋体" w:hAnsi="宋体" w:cs="宋体"/>
          <w:kern w:val="0"/>
          <w:sz w:val="24"/>
        </w:rPr>
        <w:t>（二）采购预算：</w:t>
      </w:r>
      <w:r>
        <w:rPr>
          <w:rFonts w:hint="eastAsia" w:ascii="宋体" w:hAnsi="宋体" w:cs="宋体"/>
          <w:kern w:val="0"/>
          <w:sz w:val="24"/>
          <w:lang w:val="en-US" w:eastAsia="zh-CN"/>
        </w:rPr>
        <w:t>24590</w:t>
      </w:r>
      <w:r>
        <w:rPr>
          <w:rFonts w:hint="eastAsia" w:ascii="宋体" w:hAnsi="宋体" w:cs="宋体"/>
          <w:kern w:val="0"/>
          <w:sz w:val="24"/>
        </w:rPr>
        <w:t>元（含财政资金</w:t>
      </w:r>
      <w:r>
        <w:rPr>
          <w:rFonts w:hint="eastAsia" w:ascii="宋体" w:hAnsi="宋体" w:cs="宋体"/>
          <w:kern w:val="0"/>
          <w:sz w:val="24"/>
          <w:u w:val="single"/>
        </w:rPr>
        <w:t>0</w:t>
      </w:r>
      <w:r>
        <w:rPr>
          <w:rFonts w:hint="eastAsia" w:ascii="宋体" w:hAnsi="宋体" w:cs="宋体"/>
          <w:kern w:val="0"/>
          <w:sz w:val="24"/>
        </w:rPr>
        <w:t>万元，其他资金</w:t>
      </w:r>
      <w:r>
        <w:rPr>
          <w:rFonts w:hint="eastAsia" w:ascii="宋体" w:hAnsi="宋体" w:cs="宋体"/>
          <w:kern w:val="0"/>
          <w:sz w:val="24"/>
          <w:u w:val="single"/>
          <w:lang w:val="en-US" w:eastAsia="zh-CN"/>
        </w:rPr>
        <w:t>24590</w:t>
      </w:r>
      <w:r>
        <w:rPr>
          <w:rFonts w:hint="eastAsia" w:ascii="宋体" w:hAnsi="宋体" w:cs="宋体"/>
          <w:kern w:val="0"/>
          <w:sz w:val="24"/>
        </w:rPr>
        <w:t>万元），最高限价：</w:t>
      </w:r>
      <w:r>
        <w:rPr>
          <w:rFonts w:hint="eastAsia" w:ascii="宋体" w:hAnsi="宋体" w:cs="宋体"/>
          <w:kern w:val="0"/>
          <w:sz w:val="24"/>
          <w:u w:val="single"/>
          <w:lang w:val="en-US" w:eastAsia="zh-CN"/>
        </w:rPr>
        <w:t>24590</w:t>
      </w:r>
      <w:r>
        <w:rPr>
          <w:rFonts w:hint="eastAsia" w:ascii="宋体" w:hAnsi="宋体" w:cs="宋体"/>
          <w:kern w:val="0"/>
          <w:sz w:val="24"/>
        </w:rPr>
        <w:t>万元，供应商报价超过采购预算金额或最高限价的，其该包投标无效。</w:t>
      </w:r>
    </w:p>
    <w:p>
      <w:pPr>
        <w:adjustRightInd w:val="0"/>
        <w:snapToGrid w:val="0"/>
        <w:spacing w:line="560" w:lineRule="exact"/>
        <w:ind w:firstLine="482" w:firstLineChars="200"/>
        <w:rPr>
          <w:rFonts w:ascii="宋体" w:hAnsi="宋体"/>
          <w:b/>
          <w:snapToGrid w:val="0"/>
          <w:kern w:val="0"/>
          <w:sz w:val="24"/>
        </w:rPr>
      </w:pPr>
      <w:r>
        <w:rPr>
          <w:rFonts w:hint="eastAsia" w:ascii="宋体" w:hAnsi="宋体"/>
          <w:b/>
          <w:snapToGrid w:val="0"/>
          <w:kern w:val="0"/>
          <w:sz w:val="24"/>
        </w:rPr>
        <w:t>二、供应商资格要求：</w:t>
      </w:r>
    </w:p>
    <w:p>
      <w:pPr>
        <w:widowControl/>
        <w:spacing w:line="360" w:lineRule="auto"/>
        <w:ind w:firstLine="480"/>
        <w:jc w:val="left"/>
        <w:rPr>
          <w:rFonts w:ascii="宋体" w:hAnsi="宋体" w:cs="宋体"/>
          <w:kern w:val="0"/>
          <w:sz w:val="24"/>
          <w:lang w:val="zh-CN"/>
        </w:rPr>
      </w:pPr>
      <w:r>
        <w:rPr>
          <w:rFonts w:hint="eastAsia" w:ascii="宋体" w:hAnsi="宋体" w:cs="宋体"/>
          <w:kern w:val="0"/>
          <w:sz w:val="24"/>
          <w:lang w:val="zh-CN"/>
        </w:rPr>
        <w:t>（一）供应商必须符合《政府采购法》第二十二条规定的条件；</w:t>
      </w:r>
    </w:p>
    <w:p>
      <w:pPr>
        <w:widowControl/>
        <w:spacing w:line="360" w:lineRule="auto"/>
        <w:ind w:firstLine="840"/>
        <w:jc w:val="left"/>
        <w:rPr>
          <w:rFonts w:ascii="宋体" w:hAnsi="宋体" w:cs="宋体"/>
          <w:kern w:val="0"/>
          <w:sz w:val="24"/>
          <w:lang w:val="zh-CN"/>
        </w:rPr>
      </w:pPr>
      <w:r>
        <w:rPr>
          <w:rFonts w:hint="eastAsia" w:ascii="宋体" w:hAnsi="宋体" w:cs="宋体"/>
          <w:kern w:val="0"/>
          <w:sz w:val="24"/>
          <w:lang w:val="zh-CN"/>
        </w:rPr>
        <w:t>1、具有独立承担民事责任的能力提供营业执照</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2</w:t>
      </w:r>
      <w:r>
        <w:rPr>
          <w:rFonts w:hint="eastAsia" w:ascii="宋体" w:hAnsi="宋体" w:cs="宋体"/>
          <w:kern w:val="0"/>
          <w:sz w:val="24"/>
          <w:lang w:val="zh-CN"/>
        </w:rPr>
        <w:t>、具有良好的商业信誉和健全的财务会计制度；</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3</w:t>
      </w:r>
      <w:r>
        <w:rPr>
          <w:rFonts w:hint="eastAsia" w:ascii="宋体" w:hAnsi="宋体" w:cs="宋体"/>
          <w:kern w:val="0"/>
          <w:sz w:val="24"/>
          <w:lang w:val="zh-CN"/>
        </w:rPr>
        <w:t>、具有履行合同所必需的设备和专业技术能力（</w:t>
      </w:r>
      <w:r>
        <w:rPr>
          <w:rFonts w:hint="eastAsia" w:ascii="宋体" w:hAnsi="宋体" w:cs="宋体"/>
          <w:sz w:val="24"/>
        </w:rPr>
        <w:t>以营业执照的经营范围为准</w:t>
      </w:r>
      <w:r>
        <w:rPr>
          <w:rFonts w:hint="eastAsia" w:ascii="宋体" w:hAnsi="宋体" w:cs="宋体"/>
          <w:kern w:val="0"/>
          <w:sz w:val="24"/>
          <w:lang w:val="zh-CN"/>
        </w:rPr>
        <w:t>）；</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4</w:t>
      </w:r>
      <w:r>
        <w:rPr>
          <w:rFonts w:hint="eastAsia" w:ascii="宋体" w:hAnsi="宋体" w:cs="宋体"/>
          <w:kern w:val="0"/>
          <w:sz w:val="24"/>
          <w:lang w:val="zh-CN"/>
        </w:rPr>
        <w:t>、具有依法缴纳税收和社会保障资金的良好记录；</w:t>
      </w:r>
    </w:p>
    <w:p>
      <w:pPr>
        <w:widowControl/>
        <w:spacing w:line="360" w:lineRule="auto"/>
        <w:ind w:firstLine="840"/>
        <w:jc w:val="left"/>
        <w:rPr>
          <w:rFonts w:ascii="宋体" w:hAnsi="宋体" w:cs="宋体"/>
          <w:kern w:val="0"/>
          <w:sz w:val="24"/>
          <w:lang w:val="zh-CN"/>
        </w:rPr>
      </w:pPr>
      <w:r>
        <w:rPr>
          <w:rFonts w:ascii="宋体" w:hAnsi="宋体" w:cs="宋体"/>
          <w:kern w:val="0"/>
          <w:sz w:val="24"/>
          <w:lang w:val="zh-CN"/>
        </w:rPr>
        <w:t>5</w:t>
      </w:r>
      <w:r>
        <w:rPr>
          <w:rFonts w:hint="eastAsia" w:ascii="宋体" w:hAnsi="宋体" w:cs="宋体"/>
          <w:kern w:val="0"/>
          <w:sz w:val="24"/>
          <w:lang w:val="zh-CN"/>
        </w:rPr>
        <w:t>、参加政府采购活动前三年内，在经营活动中没有重大违法记录；</w:t>
      </w:r>
    </w:p>
    <w:p>
      <w:pPr>
        <w:widowControl/>
        <w:spacing w:line="360" w:lineRule="auto"/>
        <w:ind w:firstLine="960" w:firstLineChars="400"/>
        <w:jc w:val="left"/>
        <w:rPr>
          <w:rFonts w:ascii="宋体" w:hAnsi="宋体" w:cs="宋体"/>
          <w:kern w:val="0"/>
          <w:sz w:val="24"/>
          <w:lang w:val="hr-HR"/>
        </w:rPr>
      </w:pPr>
      <w:r>
        <w:rPr>
          <w:rFonts w:ascii="宋体" w:hAnsi="宋体" w:cs="宋体"/>
          <w:kern w:val="0"/>
          <w:sz w:val="24"/>
          <w:lang w:val="zh-CN"/>
        </w:rPr>
        <w:t>6</w:t>
      </w:r>
      <w:r>
        <w:rPr>
          <w:rFonts w:hint="eastAsia" w:ascii="宋体" w:hAnsi="宋体" w:cs="宋体"/>
          <w:kern w:val="0"/>
          <w:sz w:val="24"/>
          <w:lang w:val="zh-CN"/>
        </w:rPr>
        <w:t>、法律、行政法规规定的其他条件；</w:t>
      </w:r>
    </w:p>
    <w:p>
      <w:pPr>
        <w:widowControl/>
        <w:spacing w:line="360" w:lineRule="auto"/>
        <w:ind w:firstLine="480"/>
        <w:jc w:val="left"/>
        <w:rPr>
          <w:rFonts w:ascii="宋体" w:hAnsi="宋体" w:cs="宋体"/>
          <w:kern w:val="0"/>
          <w:sz w:val="24"/>
        </w:rPr>
      </w:pPr>
      <w:r>
        <w:rPr>
          <w:rFonts w:hint="eastAsia" w:ascii="宋体" w:hAnsi="宋体" w:cs="宋体"/>
          <w:kern w:val="0"/>
          <w:sz w:val="24"/>
        </w:rPr>
        <w:t>（</w:t>
      </w:r>
      <w:r>
        <w:rPr>
          <w:rFonts w:hint="eastAsia" w:ascii="宋体" w:hAnsi="宋体" w:cs="宋体"/>
          <w:kern w:val="0"/>
          <w:sz w:val="24"/>
          <w:lang w:val="zh-CN"/>
        </w:rPr>
        <w:t>二</w:t>
      </w:r>
      <w:r>
        <w:rPr>
          <w:rFonts w:hint="eastAsia" w:ascii="宋体" w:hAnsi="宋体" w:cs="宋体"/>
          <w:kern w:val="0"/>
          <w:sz w:val="24"/>
        </w:rPr>
        <w:t>）</w:t>
      </w:r>
      <w:r>
        <w:rPr>
          <w:rFonts w:hint="eastAsia" w:ascii="宋体" w:hAnsi="宋体" w:cs="宋体"/>
          <w:kern w:val="0"/>
          <w:sz w:val="24"/>
          <w:lang w:val="zh-CN"/>
        </w:rPr>
        <w:t>各包特定资格要求</w:t>
      </w:r>
      <w:r>
        <w:rPr>
          <w:rFonts w:hint="eastAsia" w:ascii="宋体" w:hAnsi="宋体" w:cs="宋体"/>
          <w:kern w:val="0"/>
          <w:sz w:val="24"/>
        </w:rPr>
        <w:t>：</w:t>
      </w:r>
    </w:p>
    <w:p>
      <w:pPr>
        <w:widowControl/>
        <w:spacing w:line="360" w:lineRule="auto"/>
        <w:ind w:firstLine="840"/>
        <w:jc w:val="left"/>
        <w:rPr>
          <w:rFonts w:ascii="宋体" w:hAnsi="宋体" w:cs="宋体"/>
          <w:kern w:val="0"/>
          <w:sz w:val="24"/>
        </w:rPr>
      </w:pPr>
      <w:r>
        <w:rPr>
          <w:rFonts w:hint="eastAsia" w:ascii="宋体" w:hAnsi="宋体" w:cs="宋体"/>
          <w:kern w:val="0"/>
          <w:sz w:val="24"/>
        </w:rPr>
        <w:t>1、供应商须提供“信用中国”网站(www.creditchina.gov.cn)失信被执行人、重大税收违法案件当事人名单和“中国政府采购”网站（www.ccgp.gov.cn）政府采购严重违法失信行为记录名单中的查询截图（以谈判公告发出后查询结果为准）；</w:t>
      </w:r>
    </w:p>
    <w:p>
      <w:pPr>
        <w:widowControl/>
        <w:spacing w:line="360" w:lineRule="auto"/>
        <w:ind w:firstLine="840"/>
        <w:jc w:val="left"/>
        <w:rPr>
          <w:rFonts w:ascii="宋体" w:hAnsi="宋体" w:cs="宋体"/>
          <w:kern w:val="0"/>
          <w:sz w:val="24"/>
        </w:rPr>
      </w:pPr>
      <w:r>
        <w:rPr>
          <w:rFonts w:hint="eastAsia" w:ascii="宋体" w:hAnsi="宋体" w:cs="宋体"/>
          <w:kern w:val="0"/>
          <w:sz w:val="24"/>
        </w:rPr>
        <w:t>2、本项目不接受联合体投标，项目执行过程中不允许转包、分包。</w:t>
      </w:r>
    </w:p>
    <w:p>
      <w:pPr>
        <w:widowControl/>
        <w:spacing w:line="360" w:lineRule="auto"/>
        <w:ind w:firstLine="480"/>
        <w:jc w:val="left"/>
        <w:rPr>
          <w:rFonts w:ascii="宋体" w:hAnsi="宋体" w:cs="宋体"/>
          <w:kern w:val="0"/>
          <w:sz w:val="24"/>
          <w:lang w:val="hr-HR"/>
        </w:rPr>
      </w:pPr>
      <w:r>
        <w:rPr>
          <w:rFonts w:hint="eastAsia" w:ascii="宋体" w:hAnsi="宋体" w:cs="宋体"/>
          <w:kern w:val="0"/>
          <w:sz w:val="24"/>
          <w:lang w:val="hr-HR"/>
        </w:rPr>
        <w:t>（三）如国家法律法规对市场准入有要求的还应符合相关规定。</w:t>
      </w:r>
    </w:p>
    <w:p>
      <w:pPr>
        <w:widowControl/>
        <w:spacing w:line="360" w:lineRule="auto"/>
        <w:ind w:firstLine="480"/>
        <w:jc w:val="left"/>
        <w:rPr>
          <w:rFonts w:ascii="宋体" w:hAnsi="宋体" w:cs="宋体"/>
          <w:kern w:val="0"/>
          <w:sz w:val="24"/>
        </w:rPr>
      </w:pPr>
      <w:r>
        <w:rPr>
          <w:rFonts w:hint="eastAsia" w:ascii="宋体" w:hAnsi="宋体" w:cs="宋体"/>
          <w:kern w:val="0"/>
          <w:sz w:val="24"/>
          <w:lang w:val="hr-HR"/>
        </w:rPr>
        <w:t>以上资格要求为本次招标供应商应具备的基本条件，参加各包投标的供应商必须满足资格要求中的对应各包的所有条款，并按照相关规定递交资格证明文件</w:t>
      </w:r>
      <w:r>
        <w:rPr>
          <w:rFonts w:hint="eastAsia" w:ascii="宋体" w:hAnsi="宋体" w:cs="宋体"/>
          <w:kern w:val="0"/>
          <w:sz w:val="24"/>
        </w:rPr>
        <w:t>。</w:t>
      </w:r>
    </w:p>
    <w:p>
      <w:pPr>
        <w:adjustRightInd w:val="0"/>
        <w:snapToGrid w:val="0"/>
        <w:spacing w:beforeLines="50" w:afterLines="50" w:line="560" w:lineRule="exact"/>
        <w:ind w:left="465"/>
        <w:rPr>
          <w:rFonts w:ascii="宋体" w:hAnsi="宋体"/>
          <w:b/>
          <w:snapToGrid w:val="0"/>
          <w:color w:val="000000" w:themeColor="text1"/>
          <w:kern w:val="0"/>
          <w:sz w:val="24"/>
          <w:highlight w:val="none"/>
        </w:rPr>
      </w:pPr>
      <w:bookmarkStart w:id="6" w:name="_Hlk49445075"/>
      <w:r>
        <w:rPr>
          <w:rFonts w:hint="eastAsia" w:ascii="宋体" w:hAnsi="宋体"/>
          <w:b/>
          <w:color w:val="000000" w:themeColor="text1"/>
          <w:sz w:val="24"/>
          <w:highlight w:val="none"/>
        </w:rPr>
        <w:t>三、</w:t>
      </w:r>
      <w:r>
        <w:rPr>
          <w:rFonts w:hint="eastAsia" w:ascii="宋体" w:hAnsi="宋体" w:cs="宋体"/>
          <w:b/>
          <w:color w:val="000000" w:themeColor="text1"/>
          <w:sz w:val="24"/>
          <w:highlight w:val="none"/>
        </w:rPr>
        <w:t>报名方式：</w:t>
      </w:r>
    </w:p>
    <w:p>
      <w:pPr>
        <w:widowControl/>
        <w:spacing w:line="360" w:lineRule="auto"/>
        <w:ind w:firstLine="48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（一）报名时间：</w:t>
      </w:r>
      <w:r>
        <w:rPr>
          <w:color w:val="000000" w:themeColor="text1"/>
          <w:sz w:val="24"/>
          <w:szCs w:val="24"/>
          <w:highlight w:val="none"/>
        </w:rPr>
        <w:t>202</w:t>
      </w:r>
      <w:r>
        <w:rPr>
          <w:rFonts w:hint="eastAsia"/>
          <w:color w:val="000000" w:themeColor="text1"/>
          <w:sz w:val="24"/>
          <w:szCs w:val="24"/>
          <w:highlight w:val="none"/>
          <w:lang w:val="en-US" w:eastAsia="zh-CN"/>
        </w:rPr>
        <w:t>3</w:t>
      </w:r>
      <w:r>
        <w:rPr>
          <w:rFonts w:hint="eastAsia"/>
          <w:color w:val="000000" w:themeColor="text1"/>
          <w:sz w:val="24"/>
          <w:szCs w:val="24"/>
          <w:highlight w:val="none"/>
        </w:rPr>
        <w:t>年</w:t>
      </w:r>
      <w:r>
        <w:rPr>
          <w:rFonts w:hint="eastAsia"/>
          <w:color w:val="000000" w:themeColor="text1"/>
          <w:sz w:val="24"/>
          <w:szCs w:val="24"/>
          <w:highlight w:val="none"/>
          <w:lang w:val="en-US" w:eastAsia="zh-CN"/>
        </w:rPr>
        <w:t>11</w:t>
      </w:r>
      <w:r>
        <w:rPr>
          <w:rFonts w:hint="eastAsia"/>
          <w:color w:val="000000" w:themeColor="text1"/>
          <w:sz w:val="24"/>
          <w:szCs w:val="24"/>
          <w:highlight w:val="none"/>
        </w:rPr>
        <w:t>月2</w:t>
      </w:r>
      <w:r>
        <w:rPr>
          <w:rFonts w:hint="eastAsia"/>
          <w:color w:val="000000" w:themeColor="text1"/>
          <w:sz w:val="24"/>
          <w:szCs w:val="24"/>
          <w:highlight w:val="none"/>
          <w:lang w:val="en-US" w:eastAsia="zh-CN"/>
        </w:rPr>
        <w:t>7</w:t>
      </w:r>
      <w:r>
        <w:rPr>
          <w:rFonts w:hint="eastAsia"/>
          <w:color w:val="000000" w:themeColor="text1"/>
          <w:sz w:val="24"/>
          <w:szCs w:val="24"/>
          <w:highlight w:val="none"/>
        </w:rPr>
        <w:t>日至</w:t>
      </w:r>
      <w:r>
        <w:rPr>
          <w:color w:val="000000" w:themeColor="text1"/>
          <w:sz w:val="24"/>
          <w:szCs w:val="24"/>
          <w:highlight w:val="none"/>
        </w:rPr>
        <w:t>202</w:t>
      </w:r>
      <w:r>
        <w:rPr>
          <w:rFonts w:hint="eastAsia"/>
          <w:color w:val="000000" w:themeColor="text1"/>
          <w:sz w:val="24"/>
          <w:szCs w:val="24"/>
          <w:highlight w:val="none"/>
          <w:lang w:val="en-US" w:eastAsia="zh-CN"/>
        </w:rPr>
        <w:t>3</w:t>
      </w:r>
      <w:r>
        <w:rPr>
          <w:rFonts w:hint="eastAsia"/>
          <w:color w:val="000000" w:themeColor="text1"/>
          <w:sz w:val="24"/>
          <w:szCs w:val="24"/>
          <w:highlight w:val="none"/>
        </w:rPr>
        <w:t>年</w:t>
      </w:r>
      <w:r>
        <w:rPr>
          <w:rFonts w:hint="eastAsia"/>
          <w:color w:val="000000" w:themeColor="text1"/>
          <w:sz w:val="24"/>
          <w:szCs w:val="24"/>
          <w:highlight w:val="none"/>
          <w:lang w:val="en-US" w:eastAsia="zh-CN"/>
        </w:rPr>
        <w:t>11</w:t>
      </w:r>
      <w:r>
        <w:rPr>
          <w:rFonts w:hint="eastAsia"/>
          <w:color w:val="000000" w:themeColor="text1"/>
          <w:sz w:val="24"/>
          <w:szCs w:val="24"/>
          <w:highlight w:val="none"/>
        </w:rPr>
        <w:t>月2</w:t>
      </w:r>
      <w:r>
        <w:rPr>
          <w:rFonts w:hint="eastAsia"/>
          <w:color w:val="000000" w:themeColor="text1"/>
          <w:sz w:val="24"/>
          <w:szCs w:val="24"/>
          <w:highlight w:val="none"/>
          <w:lang w:val="en-US" w:eastAsia="zh-CN"/>
        </w:rPr>
        <w:t>9</w:t>
      </w:r>
      <w:r>
        <w:rPr>
          <w:rFonts w:hint="eastAsia"/>
          <w:color w:val="000000" w:themeColor="text1"/>
          <w:sz w:val="24"/>
          <w:szCs w:val="24"/>
          <w:highlight w:val="none"/>
        </w:rPr>
        <w:t>日（上午</w:t>
      </w:r>
      <w:r>
        <w:rPr>
          <w:color w:val="000000" w:themeColor="text1"/>
          <w:sz w:val="24"/>
          <w:szCs w:val="24"/>
          <w:highlight w:val="none"/>
        </w:rPr>
        <w:t>8</w:t>
      </w:r>
      <w:r>
        <w:rPr>
          <w:rFonts w:hint="eastAsia"/>
          <w:color w:val="000000" w:themeColor="text1"/>
          <w:sz w:val="24"/>
          <w:szCs w:val="24"/>
          <w:highlight w:val="none"/>
        </w:rPr>
        <w:t>：</w:t>
      </w:r>
      <w:r>
        <w:rPr>
          <w:color w:val="000000" w:themeColor="text1"/>
          <w:sz w:val="24"/>
          <w:szCs w:val="24"/>
          <w:highlight w:val="none"/>
        </w:rPr>
        <w:t>30-12</w:t>
      </w:r>
      <w:r>
        <w:rPr>
          <w:rFonts w:hint="eastAsia"/>
          <w:color w:val="000000" w:themeColor="text1"/>
          <w:sz w:val="24"/>
          <w:szCs w:val="24"/>
          <w:highlight w:val="none"/>
        </w:rPr>
        <w:t>：</w:t>
      </w:r>
      <w:r>
        <w:rPr>
          <w:color w:val="000000" w:themeColor="text1"/>
          <w:sz w:val="24"/>
          <w:szCs w:val="24"/>
          <w:highlight w:val="none"/>
        </w:rPr>
        <w:t>00</w:t>
      </w:r>
      <w:r>
        <w:rPr>
          <w:rFonts w:hint="eastAsia"/>
          <w:color w:val="000000" w:themeColor="text1"/>
          <w:sz w:val="24"/>
          <w:szCs w:val="24"/>
          <w:highlight w:val="none"/>
        </w:rPr>
        <w:t>，下午</w:t>
      </w:r>
      <w:r>
        <w:rPr>
          <w:color w:val="000000" w:themeColor="text1"/>
          <w:sz w:val="24"/>
          <w:szCs w:val="24"/>
          <w:highlight w:val="none"/>
        </w:rPr>
        <w:t>14</w:t>
      </w:r>
      <w:r>
        <w:rPr>
          <w:rFonts w:hint="eastAsia"/>
          <w:color w:val="000000" w:themeColor="text1"/>
          <w:sz w:val="24"/>
          <w:szCs w:val="24"/>
          <w:highlight w:val="none"/>
        </w:rPr>
        <w:t>：</w:t>
      </w:r>
      <w:r>
        <w:rPr>
          <w:color w:val="000000" w:themeColor="text1"/>
          <w:sz w:val="24"/>
          <w:szCs w:val="24"/>
          <w:highlight w:val="none"/>
        </w:rPr>
        <w:t>30-17</w:t>
      </w:r>
      <w:r>
        <w:rPr>
          <w:rFonts w:hint="eastAsia"/>
          <w:color w:val="000000" w:themeColor="text1"/>
          <w:sz w:val="24"/>
          <w:szCs w:val="24"/>
          <w:highlight w:val="none"/>
        </w:rPr>
        <w:t>：</w:t>
      </w:r>
      <w:r>
        <w:rPr>
          <w:color w:val="000000" w:themeColor="text1"/>
          <w:sz w:val="24"/>
          <w:szCs w:val="24"/>
          <w:highlight w:val="none"/>
        </w:rPr>
        <w:t>00</w:t>
      </w:r>
      <w:r>
        <w:rPr>
          <w:rFonts w:hint="eastAsia"/>
          <w:color w:val="000000" w:themeColor="text1"/>
          <w:sz w:val="24"/>
          <w:szCs w:val="24"/>
          <w:highlight w:val="none"/>
        </w:rPr>
        <w:t>，</w:t>
      </w:r>
      <w:r>
        <w:rPr>
          <w:rFonts w:hint="eastAsia" w:ascii="宋体" w:hAnsi="宋体" w:cs="宋体"/>
          <w:color w:val="000000" w:themeColor="text1"/>
          <w:kern w:val="0"/>
          <w:sz w:val="24"/>
          <w:highlight w:val="none"/>
        </w:rPr>
        <w:t>（北京时间)每天上午09:00～12:00、下午14:00～17:00，</w:t>
      </w:r>
      <w:r>
        <w:rPr>
          <w:rFonts w:hint="eastAsia" w:ascii="宋体" w:hAnsi="宋体" w:cs="宋体"/>
          <w:color w:val="000000" w:themeColor="text1"/>
          <w:kern w:val="0"/>
          <w:sz w:val="24"/>
          <w:highlight w:val="none"/>
          <w:lang w:val="hr-HR"/>
        </w:rPr>
        <w:t>（节假日除外）</w:t>
      </w:r>
      <w:r>
        <w:rPr>
          <w:rFonts w:hint="eastAsia" w:ascii="宋体" w:hAnsi="宋体" w:cs="宋体"/>
          <w:color w:val="000000" w:themeColor="text1"/>
          <w:kern w:val="0"/>
          <w:sz w:val="24"/>
          <w:highlight w:val="none"/>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（二）获取地点：黄石市天津路141号市中心医院</w:t>
      </w:r>
      <w:r>
        <w:rPr>
          <w:rFonts w:hint="eastAsia" w:ascii="宋体" w:hAnsi="宋体" w:cs="宋体"/>
          <w:kern w:val="0"/>
          <w:sz w:val="24"/>
          <w:lang w:val="en-US" w:eastAsia="zh-CN"/>
        </w:rPr>
        <w:t>3</w:t>
      </w:r>
      <w:r>
        <w:rPr>
          <w:rFonts w:hint="eastAsia" w:ascii="宋体" w:hAnsi="宋体" w:cs="宋体"/>
          <w:kern w:val="0"/>
          <w:sz w:val="24"/>
        </w:rPr>
        <w:t>号楼</w:t>
      </w:r>
      <w:r>
        <w:rPr>
          <w:rFonts w:hint="eastAsia" w:ascii="宋体" w:hAnsi="宋体" w:cs="宋体"/>
          <w:kern w:val="0"/>
          <w:sz w:val="24"/>
          <w:lang w:val="en-US" w:eastAsia="zh-CN"/>
        </w:rPr>
        <w:t>-1楼被服库房</w:t>
      </w:r>
      <w:r>
        <w:rPr>
          <w:rFonts w:hint="eastAsia" w:ascii="宋体" w:hAnsi="宋体" w:cs="宋体"/>
          <w:kern w:val="0"/>
          <w:sz w:val="24"/>
        </w:rPr>
        <w:t>。</w:t>
      </w:r>
    </w:p>
    <w:p>
      <w:pPr>
        <w:widowControl/>
        <w:spacing w:line="360" w:lineRule="auto"/>
        <w:ind w:firstLine="480"/>
        <w:jc w:val="left"/>
        <w:rPr>
          <w:rFonts w:ascii="宋体" w:hAnsi="宋体" w:cs="宋体"/>
          <w:kern w:val="0"/>
          <w:sz w:val="24"/>
        </w:rPr>
      </w:pPr>
      <w:r>
        <w:rPr>
          <w:rFonts w:hint="eastAsia" w:ascii="宋体" w:hAnsi="宋体" w:cs="宋体"/>
          <w:kern w:val="0"/>
          <w:sz w:val="24"/>
        </w:rPr>
        <w:t>（三）获取方式：符合资格的供应商应当在获取时间内，携带以下资格证明材料报名</w:t>
      </w:r>
    </w:p>
    <w:p>
      <w:pPr>
        <w:spacing w:line="360" w:lineRule="auto"/>
        <w:ind w:firstLine="480" w:firstLineChars="200"/>
        <w:rPr>
          <w:rFonts w:ascii="宋体" w:hAnsi="宋体"/>
          <w:sz w:val="24"/>
        </w:rPr>
      </w:pPr>
      <w:r>
        <w:rPr>
          <w:rFonts w:hint="eastAsia" w:ascii="宋体" w:hAnsi="宋体"/>
          <w:sz w:val="24"/>
        </w:rPr>
        <w:t>1.营业执照(三证合一)（复印件加盖公章）；</w:t>
      </w:r>
    </w:p>
    <w:p>
      <w:pPr>
        <w:spacing w:line="360" w:lineRule="auto"/>
        <w:ind w:firstLine="480" w:firstLineChars="200"/>
        <w:rPr>
          <w:rFonts w:ascii="宋体" w:hAnsi="宋体"/>
          <w:sz w:val="24"/>
        </w:rPr>
      </w:pPr>
      <w:r>
        <w:rPr>
          <w:rFonts w:hint="eastAsia" w:ascii="宋体" w:hAnsi="宋体"/>
          <w:sz w:val="24"/>
        </w:rPr>
        <w:t xml:space="preserve">2.法定代表人自己领取的，凭法定代表人身份证明书及法定代表人身份证原件领取。 </w:t>
      </w:r>
    </w:p>
    <w:p>
      <w:pPr>
        <w:spacing w:line="360" w:lineRule="auto"/>
        <w:ind w:firstLine="480" w:firstLineChars="200"/>
        <w:rPr>
          <w:rFonts w:ascii="宋体" w:hAnsi="宋体"/>
          <w:sz w:val="24"/>
        </w:rPr>
      </w:pPr>
      <w:r>
        <w:rPr>
          <w:rFonts w:hint="eastAsia" w:ascii="宋体" w:hAnsi="宋体"/>
          <w:sz w:val="24"/>
        </w:rPr>
        <w:t xml:space="preserve">3.法定代表人委托他人领取的，凭法定代表人授权书及受托人身份证原件领取。 </w:t>
      </w:r>
    </w:p>
    <w:p>
      <w:pPr>
        <w:spacing w:line="360" w:lineRule="auto"/>
        <w:ind w:firstLine="480" w:firstLineChars="200"/>
        <w:rPr>
          <w:rFonts w:ascii="宋体" w:hAnsi="宋体"/>
          <w:sz w:val="24"/>
        </w:rPr>
      </w:pPr>
      <w:r>
        <w:rPr>
          <w:rFonts w:hint="eastAsia" w:ascii="宋体" w:hAnsi="宋体"/>
          <w:sz w:val="24"/>
        </w:rPr>
        <w:t>4.参加政府采购活动前三年内，在经营活动中没有重大违法记录证明；</w:t>
      </w:r>
    </w:p>
    <w:p>
      <w:pPr>
        <w:spacing w:line="360" w:lineRule="auto"/>
        <w:ind w:firstLine="480" w:firstLineChars="200"/>
        <w:rPr>
          <w:rFonts w:ascii="宋体" w:hAnsi="宋体"/>
          <w:sz w:val="24"/>
        </w:rPr>
      </w:pPr>
      <w:r>
        <w:rPr>
          <w:rFonts w:hint="eastAsia" w:ascii="宋体" w:hAnsi="宋体"/>
          <w:sz w:val="24"/>
        </w:rPr>
        <w:t>5.提供“信用中国”网站(www.creditchina.gov.cn)失信被执行人、重大税收违法案件当事人名单和“中国政府采购”网站（www.ccgp.gov.cn）政府采购严重违法失信行为记录名单</w:t>
      </w:r>
      <w:r>
        <w:rPr>
          <w:rFonts w:hint="eastAsia" w:ascii="宋体" w:hAnsi="宋体" w:cs="宋体"/>
          <w:kern w:val="0"/>
          <w:sz w:val="24"/>
        </w:rPr>
        <w:t>中的查询截图（以公告发出后查询结果为准）</w:t>
      </w:r>
      <w:r>
        <w:rPr>
          <w:rFonts w:hint="eastAsia" w:ascii="宋体" w:hAnsi="宋体"/>
          <w:sz w:val="24"/>
        </w:rPr>
        <w:t>；</w:t>
      </w:r>
    </w:p>
    <w:p>
      <w:pPr>
        <w:widowControl/>
        <w:spacing w:line="360" w:lineRule="auto"/>
        <w:ind w:firstLine="480" w:firstLineChars="200"/>
        <w:jc w:val="left"/>
        <w:rPr>
          <w:sz w:val="24"/>
        </w:rPr>
      </w:pPr>
      <w:r>
        <w:rPr>
          <w:rFonts w:hint="eastAsia" w:ascii="宋体" w:hAnsi="宋体"/>
          <w:sz w:val="24"/>
        </w:rPr>
        <w:t>6.</w:t>
      </w:r>
      <w:r>
        <w:rPr>
          <w:rFonts w:hint="eastAsia" w:ascii="宋体" w:hAnsi="宋体" w:cs="宋体"/>
          <w:kern w:val="0"/>
          <w:sz w:val="24"/>
        </w:rPr>
        <w:t>近三个月纳税凭证、缴纳社保情况。</w:t>
      </w:r>
    </w:p>
    <w:p>
      <w:pPr>
        <w:spacing w:line="360" w:lineRule="auto"/>
        <w:ind w:firstLine="480" w:firstLineChars="200"/>
        <w:rPr>
          <w:rFonts w:ascii="宋体" w:hAnsi="宋体"/>
          <w:sz w:val="24"/>
        </w:rPr>
      </w:pPr>
      <w:r>
        <w:rPr>
          <w:rFonts w:hint="eastAsia" w:ascii="宋体" w:hAnsi="宋体"/>
          <w:sz w:val="24"/>
        </w:rPr>
        <w:t>7.供应商资格要求的其他证明资料；</w:t>
      </w:r>
    </w:p>
    <w:p>
      <w:pPr>
        <w:widowControl/>
        <w:spacing w:line="360" w:lineRule="auto"/>
        <w:ind w:firstLine="480"/>
        <w:jc w:val="left"/>
        <w:rPr>
          <w:rFonts w:ascii="宋体" w:hAnsi="宋体"/>
          <w:b/>
          <w:bCs/>
          <w:sz w:val="24"/>
        </w:rPr>
      </w:pPr>
      <w:r>
        <w:rPr>
          <w:rFonts w:hint="eastAsia" w:ascii="宋体" w:hAnsi="宋体"/>
          <w:b/>
          <w:bCs/>
          <w:sz w:val="24"/>
        </w:rPr>
        <w:t>以上报名材料须提供原件备查，复印件加盖公章后需装订成册</w:t>
      </w:r>
      <w:r>
        <w:rPr>
          <w:rFonts w:hint="eastAsia" w:ascii="宋体" w:hAnsi="宋体"/>
          <w:sz w:val="24"/>
        </w:rPr>
        <w:t>，</w:t>
      </w:r>
      <w:r>
        <w:rPr>
          <w:rFonts w:hint="eastAsia" w:ascii="宋体" w:hAnsi="宋体"/>
          <w:b/>
          <w:bCs/>
          <w:sz w:val="24"/>
        </w:rPr>
        <w:t>未按要求提供资料的供应商将被拒绝。</w:t>
      </w:r>
    </w:p>
    <w:p>
      <w:pPr>
        <w:widowControl/>
        <w:spacing w:line="360" w:lineRule="auto"/>
        <w:ind w:firstLine="482"/>
        <w:jc w:val="left"/>
        <w:rPr>
          <w:rFonts w:ascii="宋体" w:hAnsi="宋体" w:cs="宋体"/>
          <w:sz w:val="24"/>
        </w:rPr>
      </w:pPr>
      <w:r>
        <w:rPr>
          <w:rFonts w:hint="eastAsia" w:ascii="宋体" w:hAnsi="宋体" w:cs="宋体"/>
          <w:b/>
          <w:kern w:val="0"/>
          <w:sz w:val="24"/>
        </w:rPr>
        <w:t>四、谈判地点及时间：另行通知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五、联系事项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adjustRightInd w:val="0"/>
        <w:spacing w:line="400" w:lineRule="exact"/>
        <w:ind w:firstLine="480"/>
        <w:rPr>
          <w:rFonts w:hint="eastAsia"/>
          <w:sz w:val="24"/>
          <w:szCs w:val="24"/>
        </w:rPr>
      </w:pPr>
      <w:r>
        <w:rPr>
          <w:rFonts w:hint="eastAsia" w:ascii="宋体" w:hAnsi="宋体" w:cs="宋体"/>
          <w:bCs/>
          <w:kern w:val="0"/>
          <w:sz w:val="24"/>
          <w:szCs w:val="24"/>
        </w:rPr>
        <w:t>联 系 人：</w:t>
      </w:r>
      <w:r>
        <w:rPr>
          <w:rFonts w:hint="eastAsia"/>
          <w:sz w:val="24"/>
          <w:szCs w:val="24"/>
        </w:rPr>
        <w:t>李彩虹</w:t>
      </w:r>
    </w:p>
    <w:p>
      <w:pPr>
        <w:adjustRightInd w:val="0"/>
        <w:spacing w:line="400" w:lineRule="exact"/>
        <w:ind w:firstLine="480"/>
        <w:rPr>
          <w:rFonts w:hint="default" w:eastAsia="宋体"/>
          <w:sz w:val="24"/>
          <w:szCs w:val="24"/>
          <w:lang w:val="en-US" w:eastAsia="zh-CN"/>
        </w:rPr>
      </w:pPr>
      <w:r>
        <w:rPr>
          <w:rFonts w:hint="eastAsia"/>
          <w:sz w:val="24"/>
          <w:szCs w:val="24"/>
        </w:rPr>
        <w:t>电  话：</w:t>
      </w:r>
      <w:r>
        <w:rPr>
          <w:rFonts w:hint="eastAsia"/>
          <w:sz w:val="24"/>
          <w:szCs w:val="24"/>
          <w:lang w:val="en-US" w:eastAsia="zh-CN"/>
        </w:rPr>
        <w:t>15072013220</w:t>
      </w:r>
    </w:p>
    <w:p>
      <w:pPr>
        <w:widowControl/>
        <w:spacing w:line="360" w:lineRule="auto"/>
        <w:ind w:firstLine="482" w:firstLineChars="200"/>
        <w:jc w:val="left"/>
        <w:rPr>
          <w:rFonts w:ascii="宋体" w:hAnsi="宋体" w:cs="宋体"/>
          <w:sz w:val="24"/>
        </w:rPr>
      </w:pPr>
      <w:r>
        <w:rPr>
          <w:rFonts w:hint="eastAsia" w:ascii="宋体" w:hAnsi="宋体" w:cs="宋体"/>
          <w:b/>
          <w:kern w:val="0"/>
          <w:sz w:val="24"/>
        </w:rPr>
        <w:t>六、信息发布媒体</w:t>
      </w:r>
    </w:p>
    <w:p>
      <w:pPr>
        <w:pStyle w:val="8"/>
        <w:ind w:firstLine="480" w:firstLineChars="200"/>
        <w:rPr>
          <w:rFonts w:hint="eastAsia" w:ascii="宋体" w:hAnsi="宋体" w:cs="宋体" w:eastAsiaTheme="minorEastAsia"/>
          <w:kern w:val="0"/>
          <w:lang w:eastAsia="zh-CN"/>
        </w:rPr>
      </w:pPr>
      <w:r>
        <w:rPr>
          <w:rFonts w:hint="eastAsia" w:ascii="宋体" w:hAnsi="宋体" w:cs="宋体"/>
          <w:kern w:val="0"/>
          <w:lang w:val="zh-CN"/>
        </w:rPr>
        <w:t>黄石市中心医院</w:t>
      </w:r>
      <w:r>
        <w:rPr>
          <w:rFonts w:hint="eastAsia" w:ascii="宋体" w:hAnsi="宋体" w:cs="宋体"/>
          <w:kern w:val="0"/>
        </w:rPr>
        <w:t>官网（https://www.hszxyy.com.cn/news/128/</w:t>
      </w:r>
      <w:r>
        <w:rPr>
          <w:rFonts w:hint="eastAsia" w:ascii="宋体" w:hAnsi="宋体" w:cs="宋体"/>
          <w:kern w:val="0"/>
          <w:lang w:eastAsia="zh-CN"/>
        </w:rPr>
        <w:t>）</w:t>
      </w:r>
    </w:p>
    <w:bookmarkEnd w:id="6"/>
    <w:p>
      <w:pPr>
        <w:pStyle w:val="8"/>
        <w:ind w:firstLine="480" w:firstLineChars="200"/>
        <w:rPr>
          <w:rFonts w:ascii="宋体" w:hAnsi="宋体" w:cs="宋体"/>
          <w:kern w:val="0"/>
        </w:rPr>
      </w:pPr>
    </w:p>
    <w:p>
      <w:pPr>
        <w:pStyle w:val="8"/>
        <w:ind w:firstLine="480" w:firstLineChars="200"/>
        <w:rPr>
          <w:rFonts w:ascii="宋体" w:hAnsi="宋体" w:cs="宋体"/>
          <w:kern w:val="0"/>
        </w:rPr>
      </w:pPr>
    </w:p>
    <w:p>
      <w:pPr>
        <w:widowControl/>
        <w:spacing w:line="360" w:lineRule="auto"/>
        <w:jc w:val="center"/>
        <w:rPr>
          <w:rFonts w:ascii="宋体" w:hAnsi="宋体" w:cs="宋体"/>
          <w:sz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lang w:val="zh-CN"/>
        </w:rPr>
        <w:t>黄石市中心</w:t>
      </w:r>
      <w:r>
        <w:rPr>
          <w:rFonts w:hint="eastAsia" w:ascii="宋体" w:hAnsi="宋体" w:cs="宋体"/>
          <w:kern w:val="0"/>
          <w:sz w:val="24"/>
          <w:lang w:val="zh-CN"/>
        </w:rPr>
        <w:t>医院</w:t>
      </w:r>
    </w:p>
    <w:p>
      <w:pPr>
        <w:widowControl/>
        <w:wordWrap w:val="0"/>
        <w:spacing w:line="360" w:lineRule="auto"/>
        <w:jc w:val="center"/>
        <w:rPr>
          <w:rFonts w:ascii="宋体" w:hAnsi="宋体" w:cs="宋体"/>
          <w:kern w:val="0"/>
          <w:sz w:val="44"/>
          <w:szCs w:val="44"/>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3</w:t>
      </w:r>
      <w:r>
        <w:rPr>
          <w:rFonts w:hint="eastAsia" w:ascii="宋体" w:hAnsi="宋体" w:cs="宋体"/>
          <w:kern w:val="0"/>
          <w:sz w:val="24"/>
        </w:rPr>
        <w:t>年</w:t>
      </w:r>
      <w:r>
        <w:rPr>
          <w:rFonts w:hint="eastAsia" w:ascii="宋体" w:hAnsi="宋体" w:cs="宋体"/>
          <w:kern w:val="0"/>
          <w:sz w:val="24"/>
          <w:lang w:val="en-US" w:eastAsia="zh-CN"/>
        </w:rPr>
        <w:t>11</w:t>
      </w:r>
      <w:r>
        <w:rPr>
          <w:rFonts w:hint="eastAsia" w:ascii="宋体" w:hAnsi="宋体" w:cs="宋体"/>
          <w:kern w:val="0"/>
          <w:sz w:val="24"/>
        </w:rPr>
        <w:t>月2</w:t>
      </w:r>
      <w:bookmarkStart w:id="7" w:name="_Toc136229089"/>
      <w:bookmarkStart w:id="8" w:name="_Toc120411792"/>
      <w:r>
        <w:rPr>
          <w:rFonts w:hint="eastAsia" w:ascii="宋体" w:hAnsi="宋体" w:cs="宋体"/>
          <w:kern w:val="0"/>
          <w:sz w:val="24"/>
          <w:lang w:val="en-US" w:eastAsia="zh-CN"/>
        </w:rPr>
        <w:t>7</w:t>
      </w:r>
      <w:bookmarkStart w:id="87" w:name="_GoBack"/>
      <w:bookmarkEnd w:id="87"/>
      <w:r>
        <w:rPr>
          <w:rFonts w:hint="eastAsia" w:ascii="宋体" w:hAnsi="宋体" w:cs="宋体"/>
          <w:kern w:val="0"/>
          <w:sz w:val="24"/>
        </w:rPr>
        <w:t>日</w:t>
      </w:r>
      <w:r>
        <w:br w:type="page"/>
      </w:r>
      <w:bookmarkStart w:id="9" w:name="_Toc10386"/>
      <w:r>
        <w:rPr>
          <w:sz w:val="44"/>
          <w:szCs w:val="44"/>
        </w:rPr>
        <w:t>第二章  供应商须知</w:t>
      </w:r>
      <w:bookmarkEnd w:id="7"/>
      <w:bookmarkEnd w:id="8"/>
      <w:bookmarkEnd w:id="9"/>
    </w:p>
    <w:p>
      <w:pPr>
        <w:pStyle w:val="4"/>
      </w:pPr>
      <w:bookmarkStart w:id="10" w:name="_Toc8390"/>
      <w:r>
        <w:rPr>
          <w:rFonts w:hint="eastAsia"/>
        </w:rPr>
        <w:t>一</w:t>
      </w:r>
      <w:r>
        <w:rPr>
          <w:rFonts w:hint="eastAsia"/>
          <w:lang w:eastAsia="zh-CN"/>
        </w:rPr>
        <w:t>、</w:t>
      </w:r>
      <w:r>
        <w:rPr>
          <w:rFonts w:hint="eastAsia"/>
        </w:rPr>
        <w:t>供应商须知前附表</w:t>
      </w:r>
      <w:bookmarkEnd w:id="10"/>
    </w:p>
    <w:p>
      <w:pPr>
        <w:pStyle w:val="8"/>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5"/>
        <w:tblpPr w:leftFromText="180" w:rightFromText="180" w:vertAnchor="text" w:horzAnchor="page" w:tblpX="1353" w:tblpY="497"/>
        <w:tblOverlap w:val="never"/>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6375"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6375" w:type="dxa"/>
            <w:vAlign w:val="center"/>
          </w:tcPr>
          <w:p>
            <w:pPr>
              <w:spacing w:line="300" w:lineRule="exact"/>
              <w:rPr>
                <w:rFonts w:ascii="宋体" w:hAnsi="宋体"/>
                <w:szCs w:val="21"/>
              </w:rPr>
            </w:pP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6375" w:type="dxa"/>
          </w:tcPr>
          <w:p>
            <w:pPr>
              <w:widowControl/>
              <w:numPr>
                <w:ilvl w:val="0"/>
                <w:numId w:val="0"/>
              </w:numPr>
              <w:spacing w:line="360" w:lineRule="auto"/>
              <w:jc w:val="both"/>
              <w:rPr>
                <w:rFonts w:ascii="宋体" w:hAnsi="宋体"/>
                <w:szCs w:val="21"/>
              </w:rPr>
            </w:pP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金山院区</w:t>
            </w:r>
            <w:r>
              <w:rPr>
                <w:rFonts w:hint="eastAsia" w:ascii="宋体" w:hAnsi="宋体" w:eastAsia="宋体" w:cs="宋体"/>
                <w:b w:val="0"/>
                <w:bCs w:val="0"/>
                <w:sz w:val="24"/>
                <w:szCs w:val="24"/>
                <w:u w:val="none"/>
                <w:lang w:eastAsia="zh-CN"/>
              </w:rPr>
              <w:t>）新</w:t>
            </w:r>
            <w:r>
              <w:rPr>
                <w:rFonts w:hint="eastAsia" w:ascii="宋体" w:hAnsi="宋体" w:eastAsia="宋体" w:cs="宋体"/>
                <w:b w:val="0"/>
                <w:bCs w:val="0"/>
                <w:sz w:val="24"/>
                <w:szCs w:val="24"/>
                <w:u w:val="none"/>
              </w:rPr>
              <w:t>增加窗帘采购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6375" w:type="dxa"/>
            <w:vAlign w:val="center"/>
          </w:tcPr>
          <w:p>
            <w:pPr>
              <w:spacing w:line="300" w:lineRule="exact"/>
              <w:rPr>
                <w:rFonts w:ascii="宋体" w:hAnsi="宋体"/>
                <w:szCs w:val="21"/>
              </w:rPr>
            </w:pP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金山院区</w:t>
            </w:r>
            <w:r>
              <w:rPr>
                <w:rFonts w:hint="eastAsia" w:ascii="宋体" w:hAnsi="宋体" w:eastAsia="宋体" w:cs="宋体"/>
                <w:b w:val="0"/>
                <w:bCs w:val="0"/>
                <w:sz w:val="24"/>
                <w:szCs w:val="24"/>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6375" w:type="dxa"/>
            <w:vAlign w:val="center"/>
          </w:tcPr>
          <w:p>
            <w:pPr>
              <w:widowControl/>
              <w:numPr>
                <w:ilvl w:val="0"/>
                <w:numId w:val="0"/>
              </w:numPr>
              <w:spacing w:line="360" w:lineRule="auto"/>
              <w:jc w:val="left"/>
              <w:rPr>
                <w:rFonts w:ascii="宋体" w:hAnsi="宋体"/>
                <w:szCs w:val="21"/>
              </w:rPr>
            </w:pPr>
            <w:r>
              <w:rPr>
                <w:rFonts w:hint="eastAsia" w:ascii="宋体" w:hAnsi="宋体" w:eastAsia="宋体" w:cs="宋体"/>
                <w:b w:val="0"/>
                <w:bCs w:val="0"/>
                <w:sz w:val="24"/>
                <w:szCs w:val="24"/>
                <w:u w:val="none"/>
                <w:lang w:val="en-US" w:eastAsia="zh-CN"/>
              </w:rPr>
              <w:t>黄石</w:t>
            </w:r>
            <w:r>
              <w:rPr>
                <w:rFonts w:hint="eastAsia" w:ascii="宋体" w:hAnsi="宋体" w:eastAsia="宋体" w:cs="宋体"/>
                <w:b w:val="0"/>
                <w:bCs w:val="0"/>
                <w:sz w:val="24"/>
                <w:szCs w:val="24"/>
                <w:u w:val="none"/>
              </w:rPr>
              <w:t>市中心医院</w:t>
            </w:r>
            <w:r>
              <w:rPr>
                <w:rFonts w:hint="eastAsia" w:ascii="宋体" w:hAnsi="宋体" w:eastAsia="宋体" w:cs="宋体"/>
                <w:b w:val="0"/>
                <w:bCs w:val="0"/>
                <w:sz w:val="24"/>
                <w:szCs w:val="24"/>
                <w:u w:val="none"/>
                <w:lang w:eastAsia="zh-CN"/>
              </w:rPr>
              <w:t>（</w:t>
            </w:r>
            <w:r>
              <w:rPr>
                <w:rFonts w:hint="eastAsia" w:ascii="宋体" w:hAnsi="宋体" w:eastAsia="宋体" w:cs="宋体"/>
                <w:b w:val="0"/>
                <w:bCs w:val="0"/>
                <w:sz w:val="24"/>
                <w:szCs w:val="24"/>
                <w:u w:val="none"/>
              </w:rPr>
              <w:t>金山院区</w:t>
            </w:r>
            <w:r>
              <w:rPr>
                <w:rFonts w:hint="eastAsia" w:ascii="宋体" w:hAnsi="宋体" w:eastAsia="宋体" w:cs="宋体"/>
                <w:b w:val="0"/>
                <w:bCs w:val="0"/>
                <w:sz w:val="24"/>
                <w:szCs w:val="24"/>
                <w:u w:val="none"/>
                <w:lang w:eastAsia="zh-CN"/>
              </w:rPr>
              <w:t>）新</w:t>
            </w:r>
            <w:r>
              <w:rPr>
                <w:rFonts w:hint="eastAsia" w:ascii="宋体" w:hAnsi="宋体" w:eastAsia="宋体" w:cs="宋体"/>
                <w:b w:val="0"/>
                <w:bCs w:val="0"/>
                <w:sz w:val="24"/>
                <w:szCs w:val="24"/>
                <w:u w:val="none"/>
              </w:rPr>
              <w:t>增加窗帘采购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6375"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26"/>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6375"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6375" w:type="dxa"/>
            <w:vAlign w:val="center"/>
          </w:tcPr>
          <w:p>
            <w:pPr>
              <w:pStyle w:val="26"/>
              <w:spacing w:line="320" w:lineRule="exact"/>
              <w:rPr>
                <w:rFonts w:ascii="宋体" w:hAnsi="宋体"/>
                <w:kern w:val="2"/>
                <w:sz w:val="21"/>
                <w:szCs w:val="21"/>
                <w:lang w:eastAsia="zh-CN"/>
              </w:rPr>
            </w:pPr>
            <w:r>
              <w:rPr>
                <w:rFonts w:hint="eastAsia" w:ascii="宋体" w:hAnsi="宋体"/>
                <w:kern w:val="2"/>
                <w:sz w:val="21"/>
                <w:szCs w:val="21"/>
                <w:lang w:eastAsia="zh-CN"/>
              </w:rPr>
              <w:t>详见第一章谈判公告“二、供应商资格及要求”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6375"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26"/>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26"/>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6375" w:type="dxa"/>
          </w:tcPr>
          <w:p>
            <w:pPr>
              <w:pStyle w:val="26"/>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26"/>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6375"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6375"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6375"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6375"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，电子版（响应文件正本盖章扫描U盘存储）一份。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6375"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6375"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6375" w:type="dxa"/>
            <w:vAlign w:val="center"/>
          </w:tcPr>
          <w:p>
            <w:pPr>
              <w:pStyle w:val="4"/>
              <w:numPr>
                <w:ilvl w:val="0"/>
                <w:numId w:val="0"/>
              </w:numPr>
              <w:jc w:val="both"/>
              <w:rPr>
                <w:rFonts w:ascii="宋体" w:hAnsi="宋体" w:cs="宋体"/>
                <w:szCs w:val="21"/>
              </w:rPr>
            </w:pPr>
            <w:r>
              <w:rPr>
                <w:rFonts w:hint="eastAsia" w:ascii="宋体" w:hAnsi="宋体" w:cs="宋体"/>
                <w:b w:val="0"/>
                <w:bCs w:val="0"/>
                <w:sz w:val="21"/>
                <w:szCs w:val="21"/>
              </w:rPr>
              <w:t>详见第一章《</w:t>
            </w:r>
            <w:r>
              <w:rPr>
                <w:rFonts w:hint="eastAsia"/>
                <w:b w:val="0"/>
                <w:bCs w:val="0"/>
                <w:sz w:val="21"/>
                <w:szCs w:val="21"/>
              </w:rPr>
              <w:t>竞争性谈判公告</w:t>
            </w:r>
            <w:r>
              <w:rPr>
                <w:rFonts w:hint="eastAsia" w:ascii="宋体" w:hAnsi="宋体" w:cs="宋体"/>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6375" w:type="dxa"/>
            <w:vAlign w:val="center"/>
          </w:tcPr>
          <w:p>
            <w:pPr>
              <w:spacing w:line="300" w:lineRule="exact"/>
              <w:rPr>
                <w:rFonts w:ascii="宋体" w:hAnsi="宋体" w:cs="宋体"/>
                <w:szCs w:val="21"/>
              </w:rPr>
            </w:pPr>
            <w:r>
              <w:rPr>
                <w:rFonts w:hint="eastAsia" w:ascii="宋体" w:hAnsi="宋体" w:cs="宋体"/>
                <w:szCs w:val="21"/>
              </w:rPr>
              <w:t>详见第一章《</w:t>
            </w:r>
            <w:r>
              <w:rPr>
                <w:rFonts w:hint="eastAsia"/>
                <w:b w:val="0"/>
                <w:bCs w:val="0"/>
                <w:sz w:val="21"/>
                <w:szCs w:val="21"/>
              </w:rPr>
              <w:t>竞争性谈判公告</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6375"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3人或3人以上单数组成，</w:t>
            </w:r>
            <w:r>
              <w:rPr>
                <w:rFonts w:ascii="宋体" w:hAnsi="宋体" w:cs="Arial"/>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6375" w:type="dxa"/>
            <w:vAlign w:val="center"/>
          </w:tcPr>
          <w:p>
            <w:pPr>
              <w:pStyle w:val="25"/>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按照第1种情形规定确定提交最终报价供应商</w:t>
            </w:r>
            <w:r>
              <w:rPr>
                <w:sz w:val="21"/>
                <w:szCs w:val="21"/>
              </w:rPr>
              <w:t xml:space="preserve"> </w:t>
            </w:r>
          </w:p>
          <w:p>
            <w:pPr>
              <w:pStyle w:val="25"/>
            </w:pPr>
            <w:r>
              <w:rPr>
                <w:rFonts w:hint="eastAsia"/>
                <w:sz w:val="21"/>
                <w:szCs w:val="21"/>
              </w:rPr>
              <w:t>□按照第2种情形规定确定提交最终报价供应商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6375" w:type="dxa"/>
            <w:vAlign w:val="center"/>
          </w:tcPr>
          <w:p>
            <w:pPr>
              <w:pStyle w:val="7"/>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6375"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w:t>
            </w:r>
            <w:r>
              <w:rPr>
                <w:rFonts w:ascii="宋体" w:hAnsi="宋体" w:cs="Arial"/>
                <w:kern w:val="0"/>
                <w:sz w:val="21"/>
                <w:szCs w:val="21"/>
              </w:rPr>
              <w:t>最</w:t>
            </w:r>
            <w:r>
              <w:rPr>
                <w:rFonts w:hint="eastAsia" w:ascii="宋体" w:hAnsi="宋体" w:cs="Arial"/>
                <w:kern w:val="0"/>
                <w:sz w:val="21"/>
                <w:szCs w:val="21"/>
              </w:rPr>
              <w:t>终</w:t>
            </w:r>
            <w:r>
              <w:rPr>
                <w:rFonts w:hint="eastAsia" w:ascii="宋体" w:hAnsi="宋体"/>
                <w:szCs w:val="21"/>
              </w:rPr>
              <w:t>报价排序由底到高的原则确定成交供应商</w:t>
            </w:r>
            <w:r>
              <w:rPr>
                <w:rFonts w:ascii="宋体" w:hAnsi="宋体" w:cs="Arial"/>
                <w:kern w:val="0"/>
                <w:sz w:val="21"/>
                <w:szCs w:val="21"/>
              </w:rPr>
              <w:t>，</w:t>
            </w:r>
            <w:r>
              <w:rPr>
                <w:rFonts w:hint="eastAsia" w:ascii="宋体" w:hAnsi="宋体" w:cs="Arial"/>
                <w:kern w:val="0"/>
                <w:sz w:val="21"/>
                <w:szCs w:val="21"/>
                <w:lang w:eastAsia="zh-CN"/>
              </w:rPr>
              <w:t>以最低报价为</w:t>
            </w:r>
            <w:r>
              <w:rPr>
                <w:rFonts w:hint="eastAsia" w:ascii="宋体" w:hAnsi="宋体" w:cs="Arial"/>
                <w:kern w:val="0"/>
                <w:sz w:val="21"/>
                <w:szCs w:val="21"/>
                <w:lang w:val="en-US" w:eastAsia="zh-CN"/>
              </w:rPr>
              <w:t>成交</w:t>
            </w:r>
            <w:r>
              <w:rPr>
                <w:rFonts w:hint="eastAsia" w:ascii="宋体" w:hAnsi="宋体" w:cs="Arial"/>
                <w:kern w:val="0"/>
                <w:sz w:val="21"/>
                <w:szCs w:val="21"/>
                <w:lang w:eastAsia="zh-CN"/>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6375" w:type="dxa"/>
            <w:vAlign w:val="center"/>
          </w:tcPr>
          <w:p>
            <w:pPr>
              <w:pStyle w:val="8"/>
              <w:jc w:val="left"/>
              <w:rPr>
                <w:rFonts w:ascii="宋体" w:hAnsi="宋体" w:cs="宋体"/>
                <w:sz w:val="21"/>
                <w:szCs w:val="21"/>
              </w:rPr>
            </w:pPr>
            <w:r>
              <w:rPr>
                <w:rFonts w:hint="eastAsia" w:ascii="宋体" w:hAnsi="宋体" w:cs="宋体"/>
                <w:kern w:val="0"/>
                <w:sz w:val="21"/>
                <w:szCs w:val="21"/>
                <w:lang w:val="zh-CN"/>
              </w:rPr>
              <w:t>黄石市中心医院</w:t>
            </w:r>
            <w:r>
              <w:rPr>
                <w:rFonts w:hint="eastAsia" w:ascii="宋体" w:hAnsi="宋体" w:cs="宋体"/>
                <w:kern w:val="0"/>
                <w:sz w:val="21"/>
                <w:szCs w:val="21"/>
              </w:rPr>
              <w:t>官网（https://www.hszxyy.com.cn/news/128/</w:t>
            </w:r>
            <w:r>
              <w:rPr>
                <w:rFonts w:hint="eastAsia" w:ascii="宋体" w:hAnsi="宋体" w:cs="宋体"/>
                <w:kern w:val="0"/>
                <w:sz w:val="21"/>
                <w:szCs w:val="21"/>
                <w:lang w:eastAsia="zh-CN"/>
              </w:rPr>
              <w:t>）</w:t>
            </w:r>
          </w:p>
          <w:p>
            <w:pPr>
              <w:spacing w:line="300" w:lineRule="exact"/>
              <w:rPr>
                <w:rFonts w:ascii="宋体" w:hAnsi="宋体" w:cs="Arial"/>
                <w:kern w:val="0"/>
                <w:szCs w:val="21"/>
                <w:u w:val="single"/>
              </w:rPr>
            </w:pPr>
            <w:r>
              <w:rPr>
                <w:rFonts w:ascii="宋体" w:hAnsi="宋体" w:cs="宋体"/>
                <w:szCs w:val="21"/>
              </w:rPr>
              <w:t>□</w:t>
            </w:r>
            <w:r>
              <w:rPr>
                <w:rFonts w:hint="eastAsia" w:ascii="宋体" w:hAnsi="宋体" w:cs="宋体"/>
                <w:szCs w:val="21"/>
              </w:rPr>
              <w:t>其他媒体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26"/>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6375" w:type="dxa"/>
          </w:tcPr>
          <w:p>
            <w:pPr>
              <w:pStyle w:val="26"/>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26"/>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26"/>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26"/>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26"/>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6375"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6375"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6375"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11" w:name="_Toc535832512"/>
      <w:r>
        <w:rPr>
          <w:rFonts w:hint="eastAsia"/>
        </w:rPr>
        <w:br w:type="page"/>
      </w:r>
      <w:bookmarkEnd w:id="11"/>
      <w:bookmarkStart w:id="12" w:name="_Toc120411798"/>
      <w:bookmarkStart w:id="13" w:name="_Toc13748"/>
      <w:bookmarkStart w:id="14" w:name="_Toc535832519"/>
      <w:bookmarkStart w:id="15" w:name="_Hlk49445217"/>
      <w:r>
        <w:t>二、谈判文件</w:t>
      </w:r>
      <w:bookmarkEnd w:id="12"/>
      <w:bookmarkEnd w:id="13"/>
      <w:bookmarkEnd w:id="14"/>
    </w:p>
    <w:p>
      <w:pPr>
        <w:pStyle w:val="20"/>
        <w:tabs>
          <w:tab w:val="left" w:pos="1155"/>
          <w:tab w:val="clear" w:pos="360"/>
          <w:tab w:val="clear" w:pos="425"/>
          <w:tab w:val="clear" w:pos="1134"/>
        </w:tabs>
        <w:spacing w:before="0" w:after="0"/>
        <w:ind w:left="1157" w:hanging="1157"/>
      </w:pPr>
      <w:bookmarkStart w:id="16" w:name="_Toc120411799"/>
      <w:bookmarkStart w:id="17" w:name="_Toc16768"/>
      <w:bookmarkStart w:id="18" w:name="_Toc535832520"/>
      <w:r>
        <w:t>谈判文件的构成</w:t>
      </w:r>
      <w:bookmarkEnd w:id="16"/>
      <w:bookmarkEnd w:id="17"/>
      <w:bookmarkEnd w:id="18"/>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w:t>
      </w:r>
      <w:r>
        <w:rPr>
          <w:rFonts w:hint="eastAsia" w:ascii="宋体" w:hAnsi="宋体" w:cs="Arial"/>
          <w:kern w:val="0"/>
          <w:sz w:val="24"/>
          <w:lang w:eastAsia="zh-CN"/>
        </w:rPr>
        <w:t>，</w:t>
      </w:r>
      <w:r>
        <w:rPr>
          <w:rFonts w:ascii="宋体" w:hAnsi="宋体" w:cs="Arial"/>
          <w:kern w:val="0"/>
          <w:sz w:val="24"/>
        </w:rPr>
        <w:t>谈判文件共</w:t>
      </w:r>
      <w:r>
        <w:rPr>
          <w:rFonts w:hint="eastAsia" w:ascii="宋体" w:hAnsi="宋体" w:cs="Arial"/>
          <w:kern w:val="0"/>
          <w:sz w:val="24"/>
        </w:rPr>
        <w:t>三</w:t>
      </w:r>
      <w:r>
        <w:rPr>
          <w:rFonts w:ascii="宋体" w:hAnsi="宋体" w:cs="Arial"/>
          <w:kern w:val="0"/>
          <w:sz w:val="24"/>
        </w:rPr>
        <w:t>章。具体内容如下：</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w:t>
      </w:r>
    </w:p>
    <w:p>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20"/>
        <w:tabs>
          <w:tab w:val="left" w:pos="1155"/>
          <w:tab w:val="clear" w:pos="360"/>
          <w:tab w:val="clear" w:pos="425"/>
          <w:tab w:val="clear" w:pos="1134"/>
        </w:tabs>
        <w:spacing w:before="0" w:after="0"/>
        <w:ind w:left="1157" w:hanging="1157"/>
      </w:pPr>
      <w:bookmarkStart w:id="19" w:name="_Toc27507"/>
      <w:bookmarkStart w:id="20" w:name="_Toc535832522"/>
      <w:bookmarkStart w:id="21" w:name="_Toc120411801"/>
      <w:r>
        <w:rPr>
          <w:rFonts w:hint="eastAsia"/>
        </w:rPr>
        <w:t>谈判文件疑问的提交</w:t>
      </w:r>
      <w:bookmarkEnd w:id="19"/>
    </w:p>
    <w:p>
      <w:pPr>
        <w:numPr>
          <w:ilvl w:val="1"/>
          <w:numId w:val="1"/>
        </w:numPr>
        <w:tabs>
          <w:tab w:val="left" w:pos="1155"/>
          <w:tab w:val="left" w:pos="2247"/>
          <w:tab w:val="clear" w:pos="56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w:t>
      </w:r>
      <w:r>
        <w:rPr>
          <w:rFonts w:ascii="宋体" w:hAnsi="宋体" w:cs="Arial"/>
          <w:kern w:val="0"/>
          <w:sz w:val="24"/>
        </w:rPr>
        <w:t xml:space="preserve"> </w:t>
      </w:r>
    </w:p>
    <w:p>
      <w:pPr>
        <w:numPr>
          <w:ilvl w:val="1"/>
          <w:numId w:val="1"/>
        </w:numPr>
        <w:tabs>
          <w:tab w:val="left" w:pos="1155"/>
          <w:tab w:val="clear" w:pos="567"/>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20"/>
        <w:tabs>
          <w:tab w:val="left" w:pos="1155"/>
          <w:tab w:val="clear" w:pos="360"/>
          <w:tab w:val="clear" w:pos="425"/>
          <w:tab w:val="clear" w:pos="1134"/>
        </w:tabs>
        <w:spacing w:before="0" w:after="0"/>
        <w:ind w:left="1157" w:hanging="1157"/>
      </w:pPr>
      <w:bookmarkStart w:id="22" w:name="_Toc30155"/>
      <w:r>
        <w:rPr>
          <w:rFonts w:hint="eastAsia"/>
        </w:rPr>
        <w:t>通知</w:t>
      </w:r>
      <w:bookmarkEnd w:id="22"/>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20"/>
    <w:bookmarkEnd w:id="21"/>
    <w:p>
      <w:pPr>
        <w:pStyle w:val="4"/>
      </w:pPr>
      <w:bookmarkStart w:id="23" w:name="_Toc120411802"/>
      <w:bookmarkStart w:id="24" w:name="_Toc535832523"/>
      <w:bookmarkStart w:id="25" w:name="_Toc5242"/>
      <w:r>
        <w:t>三、响应文件的编制</w:t>
      </w:r>
      <w:bookmarkEnd w:id="23"/>
      <w:bookmarkEnd w:id="24"/>
      <w:r>
        <w:rPr>
          <w:rFonts w:hint="eastAsia"/>
        </w:rPr>
        <w:t>、装订、</w:t>
      </w:r>
      <w:r>
        <w:t>密封和标记</w:t>
      </w:r>
      <w:bookmarkEnd w:id="25"/>
    </w:p>
    <w:p>
      <w:pPr>
        <w:pStyle w:val="20"/>
        <w:tabs>
          <w:tab w:val="left" w:pos="1155"/>
          <w:tab w:val="clear" w:pos="360"/>
          <w:tab w:val="clear" w:pos="425"/>
          <w:tab w:val="clear" w:pos="1134"/>
        </w:tabs>
        <w:spacing w:before="0" w:after="0"/>
        <w:ind w:left="1157" w:hanging="1157"/>
      </w:pPr>
      <w:bookmarkStart w:id="26" w:name="_Toc10505"/>
      <w:bookmarkStart w:id="27" w:name="_Toc535832524"/>
      <w:bookmarkStart w:id="28" w:name="_Toc120411803"/>
      <w:r>
        <w:t>响应文件的语言及计量</w:t>
      </w:r>
      <w:bookmarkEnd w:id="26"/>
      <w:bookmarkEnd w:id="27"/>
      <w:bookmarkEnd w:id="28"/>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20"/>
        <w:tabs>
          <w:tab w:val="left" w:pos="1155"/>
          <w:tab w:val="clear" w:pos="360"/>
          <w:tab w:val="clear" w:pos="425"/>
          <w:tab w:val="clear" w:pos="1134"/>
        </w:tabs>
        <w:spacing w:before="0" w:after="0"/>
        <w:ind w:left="1157" w:hanging="1157"/>
      </w:pPr>
      <w:bookmarkStart w:id="29" w:name="_Toc535832525"/>
      <w:bookmarkStart w:id="30" w:name="_Toc24505"/>
      <w:bookmarkStart w:id="31" w:name="_Toc120411804"/>
      <w:r>
        <w:t>响应文件的构成</w:t>
      </w:r>
      <w:bookmarkEnd w:id="29"/>
      <w:bookmarkEnd w:id="30"/>
      <w:bookmarkEnd w:id="31"/>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pStyle w:val="20"/>
        <w:tabs>
          <w:tab w:val="left" w:pos="1155"/>
          <w:tab w:val="clear" w:pos="360"/>
          <w:tab w:val="clear" w:pos="425"/>
          <w:tab w:val="clear" w:pos="1134"/>
        </w:tabs>
        <w:spacing w:before="0" w:after="0"/>
        <w:ind w:left="1157" w:hanging="1157"/>
      </w:pPr>
      <w:bookmarkStart w:id="32" w:name="_Toc120411806"/>
      <w:bookmarkStart w:id="33" w:name="_Toc19459"/>
      <w:bookmarkStart w:id="34" w:name="_Toc535832527"/>
      <w:r>
        <w:rPr>
          <w:rFonts w:hint="eastAsia"/>
        </w:rPr>
        <w:t>谈判</w:t>
      </w:r>
      <w:r>
        <w:t>报价</w:t>
      </w:r>
      <w:bookmarkEnd w:id="32"/>
      <w:bookmarkEnd w:id="33"/>
      <w:bookmarkEnd w:id="34"/>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20"/>
        <w:tabs>
          <w:tab w:val="left" w:pos="1155"/>
          <w:tab w:val="clear" w:pos="360"/>
          <w:tab w:val="clear" w:pos="425"/>
          <w:tab w:val="clear" w:pos="1134"/>
        </w:tabs>
        <w:spacing w:before="0" w:after="0"/>
        <w:ind w:left="1157" w:hanging="1157"/>
      </w:pPr>
      <w:bookmarkStart w:id="35" w:name="_Toc120411811"/>
      <w:bookmarkStart w:id="36" w:name="_Toc535832532"/>
      <w:bookmarkStart w:id="37" w:name="_Toc19911"/>
      <w:r>
        <w:t>谈判有效期</w:t>
      </w:r>
      <w:bookmarkEnd w:id="35"/>
      <w:bookmarkEnd w:id="36"/>
      <w:bookmarkEnd w:id="37"/>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20"/>
        <w:tabs>
          <w:tab w:val="left" w:pos="1155"/>
          <w:tab w:val="clear" w:pos="360"/>
          <w:tab w:val="clear" w:pos="425"/>
          <w:tab w:val="clear" w:pos="1134"/>
        </w:tabs>
        <w:spacing w:before="0" w:after="0"/>
        <w:ind w:left="1157" w:hanging="1157"/>
      </w:pPr>
      <w:bookmarkStart w:id="38" w:name="_Toc109616875"/>
      <w:bookmarkStart w:id="39" w:name="_Toc121195753"/>
      <w:bookmarkStart w:id="40" w:name="_Toc47348161"/>
      <w:bookmarkStart w:id="41" w:name="_Toc11828"/>
      <w:bookmarkStart w:id="42" w:name="_Toc120411810"/>
      <w:bookmarkStart w:id="43" w:name="_Toc535832531"/>
      <w:r>
        <w:rPr>
          <w:rFonts w:hint="eastAsia"/>
        </w:rPr>
        <w:t>响应文件格式</w:t>
      </w:r>
      <w:bookmarkEnd w:id="38"/>
      <w:bookmarkEnd w:id="39"/>
      <w:bookmarkEnd w:id="40"/>
      <w:r>
        <w:rPr>
          <w:rFonts w:hint="eastAsia"/>
        </w:rPr>
        <w:t>和签署</w:t>
      </w:r>
      <w:bookmarkEnd w:id="41"/>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42"/>
    <w:bookmarkEnd w:id="43"/>
    <w:p>
      <w:pPr>
        <w:pStyle w:val="20"/>
        <w:tabs>
          <w:tab w:val="left" w:pos="1155"/>
          <w:tab w:val="clear" w:pos="360"/>
          <w:tab w:val="clear" w:pos="425"/>
          <w:tab w:val="clear" w:pos="1134"/>
        </w:tabs>
        <w:spacing w:before="0" w:after="0"/>
        <w:ind w:left="1157" w:hanging="1157"/>
      </w:pPr>
      <w:bookmarkStart w:id="44" w:name="_Toc535832536"/>
      <w:bookmarkStart w:id="45" w:name="_Toc120411814"/>
      <w:bookmarkStart w:id="46" w:name="_Toc21612"/>
      <w:r>
        <w:t>响应文件的</w:t>
      </w:r>
      <w:bookmarkEnd w:id="44"/>
      <w:bookmarkEnd w:id="45"/>
      <w:r>
        <w:rPr>
          <w:rFonts w:hint="eastAsia"/>
        </w:rPr>
        <w:t>装订、密封和标记</w:t>
      </w:r>
      <w:bookmarkEnd w:id="46"/>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7" w:name="_Toc2604"/>
      <w:r>
        <w:rPr>
          <w:rFonts w:hint="eastAsia"/>
        </w:rPr>
        <w:t>四</w:t>
      </w:r>
      <w:r>
        <w:t>、</w:t>
      </w:r>
      <w:bookmarkStart w:id="48" w:name="_Toc120411819"/>
      <w:bookmarkStart w:id="49" w:name="_Toc535832541"/>
      <w:r>
        <w:rPr>
          <w:rFonts w:hint="eastAsia"/>
        </w:rPr>
        <w:t>谈判</w:t>
      </w:r>
      <w:bookmarkEnd w:id="47"/>
    </w:p>
    <w:bookmarkEnd w:id="48"/>
    <w:bookmarkEnd w:id="49"/>
    <w:p>
      <w:pPr>
        <w:pStyle w:val="20"/>
        <w:tabs>
          <w:tab w:val="left" w:pos="1155"/>
          <w:tab w:val="clear" w:pos="360"/>
          <w:tab w:val="clear" w:pos="425"/>
          <w:tab w:val="clear" w:pos="1134"/>
        </w:tabs>
        <w:spacing w:before="0" w:after="0"/>
        <w:ind w:left="1157" w:hanging="1157"/>
      </w:pPr>
      <w:bookmarkStart w:id="50" w:name="_Toc17380"/>
      <w:r>
        <w:t>响应文件</w:t>
      </w:r>
      <w:r>
        <w:rPr>
          <w:rFonts w:hint="eastAsia"/>
        </w:rPr>
        <w:t>的提交</w:t>
      </w:r>
      <w:bookmarkEnd w:id="50"/>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20"/>
        <w:tabs>
          <w:tab w:val="left" w:pos="1155"/>
          <w:tab w:val="clear" w:pos="360"/>
          <w:tab w:val="clear" w:pos="425"/>
          <w:tab w:val="clear" w:pos="1134"/>
        </w:tabs>
        <w:spacing w:before="0" w:after="0"/>
        <w:ind w:left="1157" w:hanging="1157"/>
      </w:pPr>
      <w:bookmarkStart w:id="51" w:name="_Toc18751"/>
      <w:bookmarkStart w:id="52" w:name="_Toc535832538"/>
      <w:bookmarkStart w:id="53" w:name="_Toc120411816"/>
      <w:r>
        <w:t>响应文件的</w:t>
      </w:r>
      <w:r>
        <w:rPr>
          <w:rFonts w:hint="eastAsia"/>
        </w:rPr>
        <w:t>拒收</w:t>
      </w:r>
      <w:bookmarkEnd w:id="51"/>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20"/>
        <w:tabs>
          <w:tab w:val="left" w:pos="1155"/>
          <w:tab w:val="clear" w:pos="360"/>
          <w:tab w:val="clear" w:pos="425"/>
          <w:tab w:val="clear" w:pos="1134"/>
        </w:tabs>
        <w:spacing w:before="0" w:after="0"/>
        <w:ind w:left="1157" w:hanging="1157"/>
      </w:pPr>
      <w:bookmarkStart w:id="54" w:name="_Toc5977"/>
      <w:r>
        <w:rPr>
          <w:rFonts w:hint="eastAsia"/>
        </w:rPr>
        <w:t>应文件的补充、修改或撤回</w:t>
      </w:r>
      <w:bookmarkEnd w:id="54"/>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52"/>
    <w:bookmarkEnd w:id="53"/>
    <w:p>
      <w:pPr>
        <w:pStyle w:val="20"/>
        <w:tabs>
          <w:tab w:val="left" w:pos="1155"/>
          <w:tab w:val="clear" w:pos="360"/>
          <w:tab w:val="clear" w:pos="425"/>
          <w:tab w:val="clear" w:pos="1134"/>
        </w:tabs>
        <w:spacing w:before="0" w:after="0"/>
        <w:ind w:left="1157" w:hanging="1157"/>
      </w:pPr>
      <w:bookmarkStart w:id="55" w:name="_Toc29052"/>
      <w:r>
        <w:rPr>
          <w:rFonts w:hint="eastAsia"/>
        </w:rPr>
        <w:t>谈判时间和地点</w:t>
      </w:r>
      <w:bookmarkEnd w:id="55"/>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20"/>
        <w:tabs>
          <w:tab w:val="left" w:pos="1155"/>
          <w:tab w:val="clear" w:pos="360"/>
          <w:tab w:val="clear" w:pos="425"/>
          <w:tab w:val="clear" w:pos="1134"/>
        </w:tabs>
        <w:spacing w:before="0" w:after="0"/>
        <w:ind w:left="1157" w:hanging="1157"/>
      </w:pPr>
      <w:bookmarkStart w:id="56" w:name="_Toc14581"/>
      <w:r>
        <w:t>谈判小组的组成和</w:t>
      </w:r>
      <w:r>
        <w:rPr>
          <w:rFonts w:hint="eastAsia"/>
        </w:rPr>
        <w:t>评审办法</w:t>
      </w:r>
      <w:bookmarkEnd w:id="56"/>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谈判小组设组长1名，由谈判小组成员选举确定，组长与其他成员有同等评审权，仅负责组织评审活动，不得干预谈判小组其他成员的评审。</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1"/>
        </w:numPr>
        <w:tabs>
          <w:tab w:val="left" w:pos="1155"/>
          <w:tab w:val="clear" w:pos="567"/>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二</w:t>
      </w:r>
      <w:r>
        <w:rPr>
          <w:rFonts w:ascii="宋体" w:hAnsi="宋体" w:cs="Arial"/>
          <w:kern w:val="0"/>
          <w:sz w:val="24"/>
        </w:rPr>
        <w:t>章</w:t>
      </w:r>
      <w:r>
        <w:rPr>
          <w:rFonts w:hint="eastAsia" w:ascii="宋体" w:hAnsi="宋体" w:cs="Arial"/>
          <w:kern w:val="0"/>
          <w:sz w:val="24"/>
        </w:rPr>
        <w:t>第四条</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20"/>
        <w:tabs>
          <w:tab w:val="left" w:pos="1155"/>
          <w:tab w:val="clear" w:pos="360"/>
          <w:tab w:val="clear" w:pos="425"/>
          <w:tab w:val="clear" w:pos="1134"/>
        </w:tabs>
        <w:spacing w:before="0" w:after="0"/>
        <w:ind w:left="1157" w:hanging="1157"/>
      </w:pPr>
      <w:bookmarkStart w:id="57" w:name="_Toc14159"/>
      <w:r>
        <w:rPr>
          <w:rFonts w:hint="eastAsia"/>
        </w:rPr>
        <w:t>谈判程序</w:t>
      </w:r>
      <w:bookmarkEnd w:id="57"/>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1"/>
        </w:numPr>
        <w:tabs>
          <w:tab w:val="left" w:pos="1155"/>
          <w:tab w:val="clear" w:pos="567"/>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1"/>
        </w:numPr>
        <w:tabs>
          <w:tab w:val="left" w:pos="1155"/>
          <w:tab w:val="clear" w:pos="567"/>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1"/>
        </w:numPr>
        <w:tabs>
          <w:tab w:val="left" w:pos="1155"/>
          <w:tab w:val="clear" w:pos="567"/>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1"/>
        </w:numPr>
        <w:tabs>
          <w:tab w:val="left" w:pos="1155"/>
          <w:tab w:val="clear" w:pos="567"/>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最</w:t>
      </w:r>
      <w:r>
        <w:rPr>
          <w:rFonts w:hint="eastAsia" w:ascii="宋体" w:hAnsi="宋体" w:cs="Arial"/>
          <w:kern w:val="0"/>
          <w:sz w:val="24"/>
        </w:rPr>
        <w:t>终</w:t>
      </w:r>
      <w:r>
        <w:rPr>
          <w:rFonts w:ascii="宋体" w:hAnsi="宋体" w:cs="Arial"/>
          <w:kern w:val="0"/>
          <w:sz w:val="24"/>
        </w:rPr>
        <w:t xml:space="preserve">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谈判文件能够详细列明采购标的的技术、服务要求的，谈判结束后，谈判小组应当要求所有继续参加谈判的供应商在规定时间内提交最后报价，提交最</w:t>
      </w:r>
      <w:r>
        <w:rPr>
          <w:rFonts w:hint="eastAsia" w:ascii="宋体" w:hAnsi="宋体" w:cs="Arial"/>
          <w:kern w:val="0"/>
          <w:sz w:val="24"/>
        </w:rPr>
        <w:t>终</w:t>
      </w:r>
      <w:r>
        <w:rPr>
          <w:rFonts w:ascii="宋体" w:hAnsi="宋体" w:cs="Arial"/>
          <w:kern w:val="0"/>
          <w:sz w:val="24"/>
        </w:rPr>
        <w:t xml:space="preserve">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已提交响应文件的供应商，在提交最</w:t>
      </w:r>
      <w:r>
        <w:rPr>
          <w:rFonts w:hint="eastAsia" w:ascii="宋体" w:hAnsi="宋体" w:cs="Arial"/>
          <w:kern w:val="0"/>
          <w:sz w:val="24"/>
        </w:rPr>
        <w:t>终</w:t>
      </w:r>
      <w:r>
        <w:rPr>
          <w:rFonts w:ascii="宋体" w:hAnsi="宋体" w:cs="Arial"/>
          <w:kern w:val="0"/>
          <w:sz w:val="24"/>
        </w:rPr>
        <w:t xml:space="preserve">报价之前，可以根据谈判情况退出谈判。 </w:t>
      </w:r>
    </w:p>
    <w:p>
      <w:pPr>
        <w:numPr>
          <w:ilvl w:val="2"/>
          <w:numId w:val="1"/>
        </w:numPr>
        <w:tabs>
          <w:tab w:val="left" w:pos="1155"/>
          <w:tab w:val="clear" w:pos="709"/>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供应商采取密封形式提交最终报价。依据抽签顺序依次单独进入谈判现场向谈判小组公布其最终报价，最终报价将作为供应商综合评审的价格依据。</w:t>
      </w:r>
    </w:p>
    <w:p>
      <w:pPr>
        <w:numPr>
          <w:ilvl w:val="2"/>
          <w:numId w:val="1"/>
        </w:numPr>
        <w:tabs>
          <w:tab w:val="left" w:pos="1155"/>
          <w:tab w:val="clear" w:pos="709"/>
        </w:tabs>
        <w:spacing w:line="560" w:lineRule="exact"/>
        <w:ind w:left="1157" w:hanging="1157"/>
        <w:rPr>
          <w:rFonts w:ascii="宋体" w:hAnsi="宋体" w:cs="Arial"/>
          <w:kern w:val="0"/>
          <w:sz w:val="24"/>
        </w:rPr>
      </w:pPr>
      <w:r>
        <w:rPr>
          <w:rFonts w:ascii="宋体" w:hAnsi="宋体" w:cs="Arial"/>
          <w:kern w:val="0"/>
          <w:sz w:val="24"/>
        </w:rPr>
        <w:t>采购</w:t>
      </w:r>
      <w:r>
        <w:rPr>
          <w:rFonts w:hint="eastAsia" w:ascii="宋体" w:hAnsi="宋体" w:cs="Arial"/>
          <w:kern w:val="0"/>
          <w:sz w:val="24"/>
        </w:rPr>
        <w:t>人</w:t>
      </w:r>
      <w:r>
        <w:rPr>
          <w:rFonts w:ascii="宋体" w:hAnsi="宋体" w:cs="Arial"/>
          <w:kern w:val="0"/>
          <w:sz w:val="24"/>
        </w:rPr>
        <w:t>对谈判过程进行记录，最</w:t>
      </w:r>
      <w:r>
        <w:rPr>
          <w:rFonts w:hint="eastAsia" w:ascii="宋体" w:hAnsi="宋体" w:cs="Arial"/>
          <w:kern w:val="0"/>
          <w:sz w:val="24"/>
        </w:rPr>
        <w:t>终</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tabs>
          <w:tab w:val="left" w:pos="1155"/>
        </w:tabs>
        <w:spacing w:line="560" w:lineRule="exact"/>
        <w:rPr>
          <w:rFonts w:ascii="宋体" w:hAnsi="宋体" w:cs="Arial"/>
          <w:kern w:val="0"/>
          <w:sz w:val="24"/>
        </w:rPr>
      </w:pPr>
      <w:r>
        <w:rPr>
          <w:rFonts w:hint="eastAsia" w:ascii="宋体" w:hAnsi="宋体" w:cs="Arial"/>
          <w:kern w:val="0"/>
          <w:sz w:val="24"/>
          <w:lang w:val="en-US" w:eastAsia="zh-CN"/>
        </w:rPr>
        <w:t xml:space="preserve">15.7.7  </w:t>
      </w:r>
      <w:r>
        <w:rPr>
          <w:rFonts w:hint="eastAsia" w:ascii="宋体" w:hAnsi="宋体"/>
          <w:szCs w:val="21"/>
        </w:rPr>
        <w:t>采</w:t>
      </w:r>
      <w:r>
        <w:rPr>
          <w:rFonts w:hint="eastAsia" w:ascii="宋体" w:hAnsi="宋体"/>
          <w:sz w:val="24"/>
          <w:szCs w:val="24"/>
        </w:rPr>
        <w:t>购人从评审报告提出的成交候选供应商，按照</w:t>
      </w:r>
      <w:r>
        <w:rPr>
          <w:rFonts w:ascii="宋体" w:hAnsi="宋体" w:cs="Arial"/>
          <w:kern w:val="0"/>
          <w:sz w:val="24"/>
          <w:szCs w:val="24"/>
        </w:rPr>
        <w:t>最</w:t>
      </w:r>
      <w:r>
        <w:rPr>
          <w:rFonts w:hint="eastAsia" w:ascii="宋体" w:hAnsi="宋体" w:cs="Arial"/>
          <w:kern w:val="0"/>
          <w:sz w:val="24"/>
          <w:szCs w:val="24"/>
        </w:rPr>
        <w:t>终</w:t>
      </w:r>
      <w:r>
        <w:rPr>
          <w:rFonts w:hint="eastAsia" w:ascii="宋体" w:hAnsi="宋体"/>
          <w:sz w:val="24"/>
          <w:szCs w:val="24"/>
        </w:rPr>
        <w:t>报价排序由底到高的原则确定成交供应商</w:t>
      </w:r>
      <w:r>
        <w:rPr>
          <w:rFonts w:ascii="宋体" w:hAnsi="宋体" w:cs="Arial"/>
          <w:kern w:val="0"/>
          <w:sz w:val="24"/>
          <w:szCs w:val="24"/>
        </w:rPr>
        <w:t>，</w:t>
      </w:r>
      <w:r>
        <w:rPr>
          <w:rFonts w:hint="eastAsia" w:ascii="宋体" w:hAnsi="宋体" w:cs="Arial"/>
          <w:kern w:val="0"/>
          <w:sz w:val="24"/>
          <w:szCs w:val="24"/>
          <w:lang w:eastAsia="zh-CN"/>
        </w:rPr>
        <w:t>以最低报价为</w:t>
      </w:r>
      <w:r>
        <w:rPr>
          <w:rFonts w:hint="eastAsia" w:ascii="宋体" w:hAnsi="宋体" w:cs="Arial"/>
          <w:kern w:val="0"/>
          <w:sz w:val="24"/>
          <w:szCs w:val="24"/>
          <w:lang w:val="en-US" w:eastAsia="zh-CN"/>
        </w:rPr>
        <w:t>成交</w:t>
      </w:r>
      <w:r>
        <w:rPr>
          <w:rFonts w:hint="eastAsia" w:ascii="宋体" w:hAnsi="宋体" w:cs="Arial"/>
          <w:kern w:val="0"/>
          <w:sz w:val="24"/>
          <w:szCs w:val="24"/>
          <w:lang w:eastAsia="zh-CN"/>
        </w:rPr>
        <w:t>供应商。</w:t>
      </w:r>
      <w:r>
        <w:rPr>
          <w:rFonts w:hint="eastAsia" w:ascii="宋体" w:hAnsi="宋体" w:cs="Arial"/>
          <w:kern w:val="0"/>
          <w:sz w:val="24"/>
          <w:lang w:val="en-US" w:eastAsia="zh-CN"/>
        </w:rPr>
        <w:t xml:space="preserve"> </w:t>
      </w:r>
    </w:p>
    <w:bookmarkEnd w:id="15"/>
    <w:p>
      <w:pPr>
        <w:pStyle w:val="3"/>
        <w:rPr>
          <w:rFonts w:hint="eastAsia"/>
        </w:rPr>
      </w:pPr>
      <w:bookmarkStart w:id="58" w:name="_Toc136229090"/>
      <w:bookmarkStart w:id="59" w:name="_Toc1501"/>
      <w:bookmarkStart w:id="60" w:name="_Toc535815711"/>
      <w:bookmarkStart w:id="61" w:name="_Toc120411834"/>
      <w:bookmarkStart w:id="62" w:name="_Toc535891855"/>
      <w:bookmarkStart w:id="63" w:name="_Toc535832555"/>
      <w:bookmarkStart w:id="64" w:name="_Toc535814466"/>
      <w:bookmarkStart w:id="65" w:name="_Toc535891688"/>
    </w:p>
    <w:p>
      <w:pPr>
        <w:pStyle w:val="3"/>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3"/>
        <w:ind w:firstLine="1767" w:firstLineChars="400"/>
        <w:rPr>
          <w:rFonts w:hint="eastAsia"/>
          <w:sz w:val="44"/>
          <w:szCs w:val="44"/>
        </w:rPr>
      </w:pPr>
      <w:r>
        <w:rPr>
          <w:rFonts w:hint="eastAsia"/>
          <w:sz w:val="44"/>
          <w:szCs w:val="44"/>
        </w:rPr>
        <w:t xml:space="preserve">第三章 </w:t>
      </w:r>
      <w:bookmarkEnd w:id="58"/>
      <w:r>
        <w:rPr>
          <w:rFonts w:hint="eastAsia"/>
          <w:sz w:val="44"/>
          <w:szCs w:val="44"/>
        </w:rPr>
        <w:t>项目采购需求</w:t>
      </w:r>
      <w:bookmarkEnd w:id="59"/>
    </w:p>
    <w:p>
      <w:pPr>
        <w:rPr>
          <w:rFonts w:hint="eastAsia" w:cs="宋体"/>
          <w:b/>
        </w:rPr>
      </w:pPr>
      <w:bookmarkStart w:id="66" w:name="_Toc27202"/>
      <w:r>
        <w:rPr>
          <w:rFonts w:hint="eastAsia" w:cs="宋体"/>
          <w:b/>
        </w:rPr>
        <w:t>一、技术要求</w:t>
      </w:r>
    </w:p>
    <w:tbl>
      <w:tblPr>
        <w:tblStyle w:val="15"/>
        <w:tblpPr w:leftFromText="181" w:rightFromText="181" w:vertAnchor="text" w:horzAnchor="page" w:tblpX="1217" w:tblpY="343"/>
        <w:tblOverlap w:val="never"/>
        <w:tblW w:w="9742" w:type="dxa"/>
        <w:tblInd w:w="0" w:type="dxa"/>
        <w:tblLayout w:type="autofit"/>
        <w:tblCellMar>
          <w:top w:w="0" w:type="dxa"/>
          <w:left w:w="0" w:type="dxa"/>
          <w:bottom w:w="0" w:type="dxa"/>
          <w:right w:w="0" w:type="dxa"/>
        </w:tblCellMar>
      </w:tblPr>
      <w:tblGrid>
        <w:gridCol w:w="1754"/>
        <w:gridCol w:w="6183"/>
        <w:gridCol w:w="1805"/>
      </w:tblGrid>
      <w:tr>
        <w:tblPrEx>
          <w:tblCellMar>
            <w:top w:w="0" w:type="dxa"/>
            <w:left w:w="0" w:type="dxa"/>
            <w:bottom w:w="0" w:type="dxa"/>
            <w:right w:w="0" w:type="dxa"/>
          </w:tblCellMar>
        </w:tblPrEx>
        <w:trPr>
          <w:trHeight w:val="283" w:hRule="atLeast"/>
        </w:trPr>
        <w:tc>
          <w:tcPr>
            <w:tcW w:w="9742" w:type="dxa"/>
            <w:gridSpan w:val="3"/>
            <w:tcBorders>
              <w:top w:val="nil"/>
              <w:left w:val="nil"/>
              <w:bottom w:val="nil"/>
              <w:right w:val="nil"/>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 w:val="24"/>
                <w:szCs w:val="24"/>
              </w:rPr>
            </w:pPr>
            <w:r>
              <w:rPr>
                <w:rFonts w:hint="eastAsia" w:ascii="宋体" w:hAnsi="宋体" w:eastAsia="宋体" w:cs="宋体"/>
                <w:b w:val="0"/>
                <w:bCs w:val="0"/>
                <w:sz w:val="21"/>
                <w:szCs w:val="21"/>
                <w:u w:val="none"/>
                <w:lang w:val="en-US" w:eastAsia="zh-CN"/>
              </w:rPr>
              <w:t>黄石</w:t>
            </w:r>
            <w:r>
              <w:rPr>
                <w:rFonts w:hint="eastAsia" w:ascii="宋体" w:hAnsi="宋体" w:eastAsia="宋体" w:cs="宋体"/>
                <w:b w:val="0"/>
                <w:bCs w:val="0"/>
                <w:sz w:val="21"/>
                <w:szCs w:val="21"/>
                <w:u w:val="none"/>
              </w:rPr>
              <w:t>市中心医院</w:t>
            </w:r>
            <w:r>
              <w:rPr>
                <w:rFonts w:hint="eastAsia" w:ascii="宋体" w:hAnsi="宋体" w:eastAsia="宋体" w:cs="宋体"/>
                <w:b w:val="0"/>
                <w:bCs w:val="0"/>
                <w:sz w:val="21"/>
                <w:szCs w:val="21"/>
                <w:u w:val="none"/>
                <w:lang w:eastAsia="zh-CN"/>
              </w:rPr>
              <w:t>（</w:t>
            </w:r>
            <w:r>
              <w:rPr>
                <w:rFonts w:hint="eastAsia" w:ascii="宋体" w:hAnsi="宋体" w:eastAsia="宋体" w:cs="宋体"/>
                <w:b w:val="0"/>
                <w:bCs w:val="0"/>
                <w:sz w:val="21"/>
                <w:szCs w:val="21"/>
                <w:u w:val="none"/>
              </w:rPr>
              <w:t>金山院区</w:t>
            </w:r>
            <w:r>
              <w:rPr>
                <w:rFonts w:hint="eastAsia" w:ascii="宋体" w:hAnsi="宋体" w:eastAsia="宋体" w:cs="宋体"/>
                <w:b w:val="0"/>
                <w:bCs w:val="0"/>
                <w:sz w:val="21"/>
                <w:szCs w:val="21"/>
                <w:u w:val="none"/>
                <w:lang w:eastAsia="zh-CN"/>
              </w:rPr>
              <w:t>）新</w:t>
            </w:r>
            <w:r>
              <w:rPr>
                <w:rFonts w:hint="eastAsia" w:ascii="宋体" w:hAnsi="宋体" w:eastAsia="宋体" w:cs="宋体"/>
                <w:b w:val="0"/>
                <w:bCs w:val="0"/>
                <w:sz w:val="21"/>
                <w:szCs w:val="21"/>
                <w:u w:val="none"/>
              </w:rPr>
              <w:t>增加窗帘采购</w:t>
            </w:r>
            <w:r>
              <w:rPr>
                <w:rFonts w:hint="eastAsia" w:ascii="宋体" w:hAnsi="宋体" w:cs="宋体"/>
                <w:b/>
                <w:color w:val="000000"/>
                <w:kern w:val="0"/>
                <w:sz w:val="21"/>
                <w:szCs w:val="21"/>
                <w:lang w:bidi="ar"/>
              </w:rPr>
              <w:t>技术参数及要求</w:t>
            </w:r>
          </w:p>
        </w:tc>
      </w:tr>
      <w:tr>
        <w:tblPrEx>
          <w:tblCellMar>
            <w:top w:w="0" w:type="dxa"/>
            <w:left w:w="0" w:type="dxa"/>
            <w:bottom w:w="0" w:type="dxa"/>
            <w:right w:w="0" w:type="dxa"/>
          </w:tblCellMar>
        </w:tblPrEx>
        <w:trPr>
          <w:trHeight w:val="283" w:hRule="atLeast"/>
        </w:trPr>
        <w:tc>
          <w:tcPr>
            <w:tcW w:w="1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名称</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技术和性能参数要求</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备注</w:t>
            </w:r>
          </w:p>
        </w:tc>
      </w:tr>
      <w:tr>
        <w:tblPrEx>
          <w:tblCellMar>
            <w:top w:w="0" w:type="dxa"/>
            <w:left w:w="0" w:type="dxa"/>
            <w:bottom w:w="0" w:type="dxa"/>
            <w:right w:w="0" w:type="dxa"/>
          </w:tblCellMar>
        </w:tblPrEx>
        <w:trPr>
          <w:trHeight w:val="283" w:hRule="atLeast"/>
        </w:trPr>
        <w:tc>
          <w:tcPr>
            <w:tcW w:w="1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窗帘布</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1、面料材质：聚酯纤维+天然棉+天然麻合成</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2、颜色：灰蓝色、灰绿色</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3、遮光率50%-80%</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4、门幅定高2.8米</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5、面料色差和质感：要求布面无异味、不褪色，垂感好，不起皱。</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6、密度：经密50根/CM≥,纬密25根/CM≥</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7、苯酚化合物不得超标，（四氯苯酚mg/kg≤0.5,五氯苯酚mg/kg≤0.5,邻苯苯酚mg/kg≤100）</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8、水洗尺寸变化率±5%</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9、断裂强度:断裂强力N≥200</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10、</w:t>
            </w:r>
            <w:r>
              <w:rPr>
                <w:rFonts w:hint="eastAsia"/>
                <w:sz w:val="22"/>
                <w:szCs w:val="28"/>
              </w:rPr>
              <w:t>耐光色牢度级≥3</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11、耐水色牢度级/变色≥3</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12、耐皂洗色牢度级/变色≥3-4</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13、耐干摩擦色牢度级≥3-4</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14、耐湿摩擦色牢度级≥3</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15、布料甲醛含量，PH值要符合GB18401-2010国家纺织产品基本安全技术规范，面料中化学成分含量不得超过国家最新颁布的相关标准和规范（甲醇含量mg/kg≤300） </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16、阻燃材料达到B1等级以上；</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399" w:hRule="atLeast"/>
        </w:trPr>
        <w:tc>
          <w:tcPr>
            <w:tcW w:w="175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有纺布带</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1、面料材质,高弹丝有纺带，隔光 ，透气，经久耐用，不易腐烂。</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388" w:hRule="atLeast"/>
        </w:trPr>
        <w:tc>
          <w:tcPr>
            <w:tcW w:w="1754" w:type="dxa"/>
            <w:vMerge w:val="continue"/>
            <w:tcBorders>
              <w:left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2、颜色：白色</w:t>
            </w:r>
          </w:p>
        </w:tc>
        <w:tc>
          <w:tcPr>
            <w:tcW w:w="18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393" w:hRule="atLeast"/>
        </w:trPr>
        <w:tc>
          <w:tcPr>
            <w:tcW w:w="175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3、制作工艺要求窗帘布将有纺布带包裹在窗帘布中</w:t>
            </w:r>
          </w:p>
        </w:tc>
        <w:tc>
          <w:tcPr>
            <w:tcW w:w="180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有纺布带</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3、耐水色牢度变色/级≥3</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4、耐干摩擦色牢度/级≥3</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 xml:space="preserve">5、布料甲醛含量，PH值要符合GB18401-2010国家纺织产品基本安全技术规范，面料中化学成分含量不得超过国家最新颁布的相关标准和规范（甲醇含量mg/kg≤300 ） </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需提供国家认可检测机构的检验报告</w:t>
            </w:r>
          </w:p>
        </w:tc>
      </w:tr>
      <w:tr>
        <w:tblPrEx>
          <w:tblCellMar>
            <w:top w:w="0" w:type="dxa"/>
            <w:left w:w="0" w:type="dxa"/>
            <w:bottom w:w="0" w:type="dxa"/>
            <w:right w:w="0" w:type="dxa"/>
          </w:tblCellMar>
        </w:tblPrEx>
        <w:trPr>
          <w:trHeight w:val="283" w:hRule="atLeast"/>
        </w:trPr>
        <w:tc>
          <w:tcPr>
            <w:tcW w:w="1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轨道</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1、材质：优质铝合金</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2、外观：表面无污迹，划花或脱漆，起泡等不良现象</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3、尺寸规格：宽≥22mm，高≥25mm</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4、壁厚度：≥1.2mm</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5、安装方式：直线暗轨，每根滑轨应含有2个不锈钢封口具备</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6、滚轮数量≥6个/米</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7、窗钩：必须是金属不锈材质</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b/>
                <w:color w:val="000000"/>
                <w:szCs w:val="21"/>
              </w:rPr>
            </w:pPr>
            <w:r>
              <w:rPr>
                <w:rFonts w:hint="eastAsia" w:ascii="宋体" w:hAnsi="宋体" w:cs="宋体"/>
                <w:b/>
                <w:color w:val="000000"/>
                <w:kern w:val="0"/>
                <w:szCs w:val="21"/>
                <w:lang w:bidi="ar"/>
              </w:rPr>
              <w:t>安装制作要求</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1、单层窗帘的褶皱不低于2倍；</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2、窗帘上端与有纺带缝纫处必须完好包覆，不得外露；</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3、窗帘褶皱距离均匀</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4、窗帘落地高度齐平</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5、窗帘针孔大小一致</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6、窗帘底边卷边4-5cm</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7、窗帘安装固定件的间隔距离不大于60厘米，确保牢固</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b/>
                <w:color w:val="000000"/>
                <w:sz w:val="24"/>
                <w:szCs w:val="24"/>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8、窗帘安装确保两端与窗户间距一致</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szCs w:val="21"/>
              </w:rPr>
            </w:pPr>
            <w:r>
              <w:rPr>
                <w:rFonts w:hint="eastAsia" w:ascii="宋体" w:hAnsi="宋体" w:cs="宋体"/>
                <w:color w:val="000000"/>
                <w:kern w:val="0"/>
                <w:szCs w:val="21"/>
                <w:lang w:bidi="ar"/>
              </w:rPr>
              <w:t>9、窗帘整体与地平线保持水平</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hint="eastAsia" w:ascii="宋体" w:hAnsi="宋体" w:cs="宋体"/>
                <w:b/>
                <w:color w:val="000000"/>
                <w:szCs w:val="21"/>
              </w:rPr>
            </w:pP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10、此项目为交钥匙工程,保质期一年，终身保修。</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r>
        <w:tblPrEx>
          <w:tblCellMar>
            <w:top w:w="0" w:type="dxa"/>
            <w:left w:w="0" w:type="dxa"/>
            <w:bottom w:w="0" w:type="dxa"/>
            <w:right w:w="0" w:type="dxa"/>
          </w:tblCellMar>
        </w:tblPrEx>
        <w:trPr>
          <w:trHeight w:val="283" w:hRule="atLeast"/>
        </w:trPr>
        <w:tc>
          <w:tcPr>
            <w:tcW w:w="17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hint="eastAsia" w:ascii="宋体" w:hAnsi="宋体" w:cs="宋体"/>
                <w:color w:val="000000"/>
                <w:szCs w:val="21"/>
              </w:rPr>
            </w:pPr>
            <w:r>
              <w:rPr>
                <w:rFonts w:hint="eastAsia" w:ascii="宋体" w:hAnsi="宋体" w:cs="宋体"/>
                <w:color w:val="000000"/>
                <w:kern w:val="0"/>
                <w:szCs w:val="21"/>
                <w:lang w:bidi="ar"/>
              </w:rPr>
              <w:t>其他</w:t>
            </w:r>
          </w:p>
        </w:tc>
        <w:tc>
          <w:tcPr>
            <w:tcW w:w="61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1、投标单位投标时，必须提供一幅制作好的1.5m宽的成品窗帘布样品和0.5m长的窗帘轨道样品。</w:t>
            </w:r>
          </w:p>
          <w:p>
            <w:pPr>
              <w:widowControl/>
              <w:spacing w:line="240" w:lineRule="exact"/>
              <w:jc w:val="left"/>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2、中标单位制作窗帘前，需提供投标时，窗帘样品面料（灰蓝或灰绿）同颜色4种相近颜色，供招标人选择确认1种颜色后，再制作安装。</w:t>
            </w:r>
          </w:p>
        </w:tc>
        <w:tc>
          <w:tcPr>
            <w:tcW w:w="18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hint="eastAsia" w:ascii="宋体" w:hAnsi="宋体" w:cs="宋体"/>
                <w:color w:val="000000"/>
                <w:szCs w:val="21"/>
              </w:rPr>
            </w:pPr>
          </w:p>
        </w:tc>
      </w:tr>
    </w:tbl>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tbl>
      <w:tblPr>
        <w:tblStyle w:val="15"/>
        <w:tblpPr w:leftFromText="180" w:rightFromText="180" w:vertAnchor="text" w:horzAnchor="page" w:tblpX="1384" w:tblpY="287"/>
        <w:tblOverlap w:val="never"/>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2"/>
        <w:gridCol w:w="750"/>
        <w:gridCol w:w="756"/>
        <w:gridCol w:w="879"/>
        <w:gridCol w:w="933"/>
        <w:gridCol w:w="975"/>
        <w:gridCol w:w="1050"/>
        <w:gridCol w:w="1182"/>
        <w:gridCol w:w="108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32" w:type="dxa"/>
            <w:gridSpan w:val="10"/>
            <w:tcBorders>
              <w:top w:val="nil"/>
              <w:left w:val="nil"/>
              <w:bottom w:val="nil"/>
              <w:right w:val="nil"/>
            </w:tcBorders>
            <w:noWrap w:val="0"/>
            <w:vAlign w:val="top"/>
          </w:tcPr>
          <w:p>
            <w:pPr>
              <w:keepNext w:val="0"/>
              <w:keepLines w:val="0"/>
              <w:widowControl/>
              <w:suppressLineNumbers w:val="0"/>
              <w:ind w:firstLine="1124" w:firstLineChars="40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二、黄石市中心医院（金山院区）新增加窗帘采购配置明细表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窗数量    （个）</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窗宽     （m）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窗高     （m）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1"/>
                <w:lang w:val="en-US" w:eastAsia="zh-CN" w:bidi="ar"/>
              </w:rPr>
              <w:t>面积  （</w:t>
            </w:r>
            <w:r>
              <w:rPr>
                <w:rStyle w:val="32"/>
                <w:lang w:val="en-US" w:eastAsia="zh-CN" w:bidi="ar"/>
              </w:rPr>
              <w:t>㎡</w:t>
            </w:r>
            <w:r>
              <w:rPr>
                <w:rStyle w:val="31"/>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控制价单价(元)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住院大楼二层透析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 2F透析科</w:t>
            </w: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换鞋区</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住院楼2F透析科小计</w:t>
            </w:r>
          </w:p>
        </w:tc>
        <w:tc>
          <w:tcPr>
            <w:tcW w:w="879"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97.92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254.59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5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住院3F抢救室大厅</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5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住院楼3F小计</w:t>
            </w:r>
          </w:p>
        </w:tc>
        <w:tc>
          <w:tcPr>
            <w:tcW w:w="879"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8.34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18.01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门诊手术室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门诊楼2F女值班室</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复苏室</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50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麻醉药品间</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门诊楼2F小计</w:t>
            </w:r>
          </w:p>
        </w:tc>
        <w:tc>
          <w:tcPr>
            <w:tcW w:w="879"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3"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6.75 </w:t>
            </w:r>
          </w:p>
        </w:tc>
        <w:tc>
          <w:tcPr>
            <w:tcW w:w="975" w:type="dxa"/>
            <w:tcBorders>
              <w:top w:val="nil"/>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16.11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sz w:val="22"/>
                <w:szCs w:val="22"/>
                <w:u w:val="none"/>
              </w:rPr>
              <w:t>食堂营养科区域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50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食堂1F</w:t>
            </w: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5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50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食堂小计</w:t>
            </w:r>
          </w:p>
        </w:tc>
        <w:tc>
          <w:tcPr>
            <w:tcW w:w="879"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10.75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27.78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67" w:type="dxa"/>
            <w:gridSpan w:val="4"/>
            <w:tcBorders>
              <w:top w:val="single" w:color="000000" w:sz="4" w:space="0"/>
              <w:left w:val="single" w:color="000000" w:sz="4" w:space="0"/>
              <w:bottom w:val="single" w:color="000000" w:sz="4" w:space="0"/>
              <w:right w:val="nil"/>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其他增加区域</w:t>
            </w:r>
          </w:p>
        </w:tc>
        <w:tc>
          <w:tcPr>
            <w:tcW w:w="933"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B超</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30.72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泌尿外科门诊</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泌尿外科住院楼</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综合肿瘤外科避难间</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6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综合肿瘤外科避难间</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7B晾晒间</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12B晾晒间</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506"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电工班</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10.44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1506" w:type="dxa"/>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生殖医学科</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8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506"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79"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21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175.31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nil"/>
              <w:left w:val="nil"/>
              <w:bottom w:val="single" w:color="auto" w:sz="4" w:space="0"/>
              <w:right w:val="nil"/>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388" w:type="dxa"/>
            <w:gridSpan w:val="3"/>
            <w:tcBorders>
              <w:top w:val="single" w:color="000000" w:sz="4" w:space="0"/>
              <w:left w:val="single" w:color="000000" w:sz="4" w:space="0"/>
              <w:bottom w:val="single" w:color="000000" w:sz="4" w:space="0"/>
              <w:right w:val="single" w:color="000000" w:sz="4" w:space="0"/>
            </w:tcBorders>
            <w:shd w:val="clear" w:color="auto" w:fill="FCE4D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879" w:type="dxa"/>
            <w:tcBorders>
              <w:top w:val="single" w:color="000000" w:sz="4" w:space="0"/>
              <w:left w:val="single" w:color="000000" w:sz="4" w:space="0"/>
              <w:bottom w:val="single" w:color="000000" w:sz="4" w:space="0"/>
              <w:right w:val="single" w:color="000000" w:sz="4" w:space="0"/>
            </w:tcBorders>
            <w:shd w:val="clear" w:color="auto" w:fill="FCE4D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55 </w:t>
            </w:r>
          </w:p>
        </w:tc>
        <w:tc>
          <w:tcPr>
            <w:tcW w:w="933" w:type="dxa"/>
            <w:tcBorders>
              <w:top w:val="single" w:color="000000" w:sz="4" w:space="0"/>
              <w:left w:val="single" w:color="000000" w:sz="4" w:space="0"/>
              <w:bottom w:val="single" w:color="000000" w:sz="4" w:space="0"/>
              <w:right w:val="single" w:color="000000" w:sz="4" w:space="0"/>
            </w:tcBorders>
            <w:shd w:val="clear" w:color="auto" w:fill="FCE4D6"/>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FCE4D6"/>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491.80 </w:t>
            </w:r>
          </w:p>
        </w:tc>
        <w:tc>
          <w:tcPr>
            <w:tcW w:w="1182" w:type="dxa"/>
            <w:tcBorders>
              <w:top w:val="single" w:color="000000" w:sz="4" w:space="0"/>
              <w:left w:val="single" w:color="000000" w:sz="4" w:space="0"/>
              <w:bottom w:val="single" w:color="000000" w:sz="4" w:space="0"/>
              <w:right w:val="single" w:color="auto"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087" w:type="dxa"/>
            <w:tcBorders>
              <w:top w:val="single" w:color="auto" w:sz="4" w:space="0"/>
              <w:left w:val="single" w:color="auto" w:sz="4" w:space="0"/>
              <w:bottom w:val="single" w:color="auto" w:sz="4" w:space="0"/>
              <w:right w:val="single" w:color="auto"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auto"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bl>
    <w:p>
      <w:pPr>
        <w:pStyle w:val="3"/>
        <w:spacing w:line="500" w:lineRule="exact"/>
        <w:ind w:firstLine="2209" w:firstLineChars="500"/>
        <w:jc w:val="both"/>
        <w:rPr>
          <w:rFonts w:hint="eastAsia"/>
          <w:sz w:val="44"/>
          <w:szCs w:val="44"/>
        </w:rPr>
      </w:pPr>
      <w:r>
        <w:rPr>
          <w:rFonts w:hint="eastAsia"/>
          <w:sz w:val="44"/>
          <w:szCs w:val="44"/>
        </w:rPr>
        <w:t>第四章 合同条款</w:t>
      </w:r>
      <w:bookmarkEnd w:id="66"/>
    </w:p>
    <w:p>
      <w:pPr>
        <w:jc w:val="center"/>
        <w:rPr>
          <w:rFonts w:cs="宋体"/>
        </w:rPr>
      </w:pPr>
      <w:r>
        <w:rPr>
          <w:rFonts w:hint="eastAsia" w:cs="宋体"/>
        </w:rPr>
        <w:t>（仅供参考）</w:t>
      </w:r>
    </w:p>
    <w:p>
      <w:pPr>
        <w:pStyle w:val="6"/>
        <w:spacing w:line="440" w:lineRule="exact"/>
        <w:ind w:firstLine="480"/>
        <w:rPr>
          <w:kern w:val="0"/>
          <w:sz w:val="24"/>
        </w:rPr>
      </w:pPr>
      <w:r>
        <w:rPr>
          <w:rFonts w:hint="eastAsia"/>
          <w:kern w:val="0"/>
          <w:sz w:val="24"/>
        </w:rPr>
        <w:t xml:space="preserve">甲方（需方）：                            签订时间：               </w:t>
      </w:r>
    </w:p>
    <w:p>
      <w:pPr>
        <w:pStyle w:val="6"/>
        <w:spacing w:line="440" w:lineRule="exact"/>
        <w:ind w:firstLine="480"/>
        <w:rPr>
          <w:kern w:val="0"/>
          <w:sz w:val="24"/>
        </w:rPr>
      </w:pPr>
      <w:r>
        <w:rPr>
          <w:rFonts w:hint="eastAsia"/>
          <w:kern w:val="0"/>
          <w:sz w:val="24"/>
        </w:rPr>
        <w:t>乙方（供方）：                            签订地点：</w:t>
      </w:r>
    </w:p>
    <w:p>
      <w:pPr>
        <w:pStyle w:val="6"/>
        <w:spacing w:line="440" w:lineRule="exact"/>
        <w:ind w:firstLine="480"/>
        <w:rPr>
          <w:kern w:val="0"/>
          <w:sz w:val="24"/>
        </w:rPr>
      </w:pPr>
      <w:r>
        <w:rPr>
          <w:rFonts w:hint="eastAsia"/>
          <w:kern w:val="0"/>
          <w:sz w:val="24"/>
        </w:rPr>
        <w:t>甲乙双方本着互惠互利、共赢发展原则，就货物采购业务进行友好合作。为明确各自权利和义务，特于（地址）：签订本合同，以资双方共同遵守。</w:t>
      </w:r>
    </w:p>
    <w:p>
      <w:pPr>
        <w:pStyle w:val="6"/>
        <w:spacing w:line="440" w:lineRule="exact"/>
        <w:ind w:firstLine="482"/>
        <w:rPr>
          <w:b/>
          <w:bCs/>
          <w:kern w:val="0"/>
          <w:sz w:val="24"/>
        </w:rPr>
      </w:pPr>
      <w:r>
        <w:rPr>
          <w:rFonts w:hint="eastAsia"/>
          <w:b/>
          <w:bCs/>
          <w:kern w:val="0"/>
          <w:sz w:val="24"/>
        </w:rPr>
        <w:t>一、货物品名、规格型号、生产厂家、数量、单价、单位、总金额</w:t>
      </w:r>
    </w:p>
    <w:tbl>
      <w:tblPr>
        <w:tblStyle w:val="15"/>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2535"/>
        <w:gridCol w:w="850"/>
        <w:gridCol w:w="921"/>
        <w:gridCol w:w="1106"/>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6" w:type="dxa"/>
            <w:noWrap w:val="0"/>
            <w:vAlign w:val="center"/>
          </w:tcPr>
          <w:p>
            <w:pPr>
              <w:pStyle w:val="6"/>
              <w:ind w:firstLine="0" w:firstLineChars="0"/>
              <w:jc w:val="center"/>
              <w:rPr>
                <w:rFonts w:cs="仿宋"/>
                <w:kern w:val="0"/>
                <w:sz w:val="24"/>
              </w:rPr>
            </w:pPr>
            <w:r>
              <w:rPr>
                <w:rFonts w:hint="eastAsia" w:cs="仿宋"/>
                <w:kern w:val="0"/>
                <w:sz w:val="24"/>
              </w:rPr>
              <w:t>品名</w:t>
            </w:r>
          </w:p>
        </w:tc>
        <w:tc>
          <w:tcPr>
            <w:tcW w:w="2535" w:type="dxa"/>
            <w:noWrap w:val="0"/>
            <w:vAlign w:val="center"/>
          </w:tcPr>
          <w:p>
            <w:pPr>
              <w:pStyle w:val="6"/>
              <w:ind w:firstLine="0" w:firstLineChars="0"/>
              <w:jc w:val="center"/>
              <w:rPr>
                <w:rFonts w:cs="仿宋"/>
                <w:kern w:val="0"/>
                <w:sz w:val="24"/>
              </w:rPr>
            </w:pPr>
            <w:r>
              <w:rPr>
                <w:rFonts w:hint="eastAsia" w:cs="仿宋"/>
                <w:kern w:val="0"/>
                <w:sz w:val="24"/>
              </w:rPr>
              <w:t>规格型号</w:t>
            </w:r>
          </w:p>
        </w:tc>
        <w:tc>
          <w:tcPr>
            <w:tcW w:w="850" w:type="dxa"/>
            <w:noWrap w:val="0"/>
            <w:vAlign w:val="center"/>
          </w:tcPr>
          <w:p>
            <w:pPr>
              <w:pStyle w:val="6"/>
              <w:ind w:left="120" w:right="120" w:firstLine="0" w:firstLineChars="0"/>
              <w:jc w:val="center"/>
              <w:rPr>
                <w:rFonts w:cs="仿宋"/>
                <w:kern w:val="0"/>
                <w:sz w:val="24"/>
              </w:rPr>
            </w:pPr>
            <w:r>
              <w:rPr>
                <w:rFonts w:hint="eastAsia" w:cs="仿宋"/>
                <w:kern w:val="0"/>
                <w:sz w:val="24"/>
              </w:rPr>
              <w:t>单位</w:t>
            </w:r>
          </w:p>
        </w:tc>
        <w:tc>
          <w:tcPr>
            <w:tcW w:w="921" w:type="dxa"/>
            <w:noWrap w:val="0"/>
            <w:vAlign w:val="center"/>
          </w:tcPr>
          <w:p>
            <w:pPr>
              <w:pStyle w:val="6"/>
              <w:ind w:left="120" w:right="120" w:firstLine="0" w:firstLineChars="0"/>
              <w:jc w:val="center"/>
              <w:rPr>
                <w:rFonts w:cs="仿宋"/>
                <w:kern w:val="0"/>
                <w:sz w:val="24"/>
              </w:rPr>
            </w:pPr>
            <w:r>
              <w:rPr>
                <w:rFonts w:hint="eastAsia" w:cs="仿宋"/>
                <w:kern w:val="0"/>
                <w:sz w:val="24"/>
              </w:rPr>
              <w:t>数量</w:t>
            </w:r>
          </w:p>
        </w:tc>
        <w:tc>
          <w:tcPr>
            <w:tcW w:w="1106" w:type="dxa"/>
            <w:noWrap w:val="0"/>
            <w:vAlign w:val="center"/>
          </w:tcPr>
          <w:p>
            <w:pPr>
              <w:pStyle w:val="6"/>
              <w:ind w:left="120" w:right="120" w:firstLine="0" w:firstLineChars="0"/>
              <w:jc w:val="center"/>
              <w:rPr>
                <w:rFonts w:cs="仿宋"/>
                <w:kern w:val="0"/>
                <w:sz w:val="24"/>
              </w:rPr>
            </w:pPr>
            <w:r>
              <w:rPr>
                <w:rFonts w:hint="eastAsia" w:cs="仿宋"/>
                <w:kern w:val="0"/>
                <w:sz w:val="24"/>
              </w:rPr>
              <w:t>单价/元</w:t>
            </w:r>
          </w:p>
        </w:tc>
        <w:tc>
          <w:tcPr>
            <w:tcW w:w="1712" w:type="dxa"/>
            <w:noWrap w:val="0"/>
            <w:vAlign w:val="center"/>
          </w:tcPr>
          <w:p>
            <w:pPr>
              <w:pStyle w:val="6"/>
              <w:ind w:firstLine="0" w:firstLineChars="0"/>
              <w:jc w:val="center"/>
              <w:rPr>
                <w:rFonts w:cs="仿宋"/>
                <w:kern w:val="0"/>
                <w:sz w:val="24"/>
              </w:rPr>
            </w:pPr>
            <w:r>
              <w:rPr>
                <w:rFonts w:hint="eastAsia" w:cs="仿宋"/>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936" w:type="dxa"/>
            <w:noWrap w:val="0"/>
            <w:vAlign w:val="center"/>
          </w:tcPr>
          <w:p>
            <w:pPr>
              <w:pStyle w:val="6"/>
              <w:ind w:firstLine="0" w:firstLineChars="0"/>
              <w:jc w:val="center"/>
              <w:rPr>
                <w:rFonts w:cs="仿宋"/>
                <w:kern w:val="0"/>
                <w:sz w:val="24"/>
              </w:rPr>
            </w:pPr>
          </w:p>
        </w:tc>
        <w:tc>
          <w:tcPr>
            <w:tcW w:w="2535" w:type="dxa"/>
            <w:noWrap w:val="0"/>
            <w:vAlign w:val="center"/>
          </w:tcPr>
          <w:p>
            <w:pPr>
              <w:pStyle w:val="6"/>
              <w:ind w:firstLine="0" w:firstLineChars="0"/>
              <w:jc w:val="center"/>
              <w:rPr>
                <w:rFonts w:cs="仿宋"/>
                <w:kern w:val="0"/>
                <w:sz w:val="24"/>
              </w:rPr>
            </w:pPr>
          </w:p>
        </w:tc>
        <w:tc>
          <w:tcPr>
            <w:tcW w:w="850" w:type="dxa"/>
            <w:noWrap w:val="0"/>
            <w:vAlign w:val="center"/>
          </w:tcPr>
          <w:p>
            <w:pPr>
              <w:pStyle w:val="6"/>
              <w:ind w:firstLine="0" w:firstLineChars="0"/>
              <w:jc w:val="center"/>
              <w:rPr>
                <w:rFonts w:cs="仿宋"/>
                <w:kern w:val="0"/>
                <w:sz w:val="24"/>
              </w:rPr>
            </w:pPr>
          </w:p>
        </w:tc>
        <w:tc>
          <w:tcPr>
            <w:tcW w:w="921" w:type="dxa"/>
            <w:noWrap w:val="0"/>
            <w:vAlign w:val="center"/>
          </w:tcPr>
          <w:p>
            <w:pPr>
              <w:pStyle w:val="6"/>
              <w:ind w:firstLine="0" w:firstLineChars="0"/>
              <w:jc w:val="center"/>
              <w:rPr>
                <w:rFonts w:cs="仿宋"/>
                <w:kern w:val="0"/>
                <w:sz w:val="24"/>
              </w:rPr>
            </w:pPr>
          </w:p>
        </w:tc>
        <w:tc>
          <w:tcPr>
            <w:tcW w:w="1106" w:type="dxa"/>
            <w:noWrap w:val="0"/>
            <w:vAlign w:val="center"/>
          </w:tcPr>
          <w:p>
            <w:pPr>
              <w:pStyle w:val="6"/>
              <w:ind w:firstLine="0" w:firstLineChars="0"/>
              <w:jc w:val="center"/>
              <w:rPr>
                <w:rFonts w:cs="仿宋"/>
                <w:kern w:val="0"/>
                <w:sz w:val="24"/>
              </w:rPr>
            </w:pPr>
          </w:p>
        </w:tc>
        <w:tc>
          <w:tcPr>
            <w:tcW w:w="1712" w:type="dxa"/>
            <w:vMerge w:val="restart"/>
            <w:noWrap w:val="0"/>
            <w:vAlign w:val="center"/>
          </w:tcPr>
          <w:p>
            <w:pPr>
              <w:pStyle w:val="6"/>
              <w:ind w:left="120" w:right="120" w:firstLine="0" w:firstLineChars="0"/>
              <w:rPr>
                <w:rFonts w:cs="仿宋"/>
                <w:kern w:val="0"/>
                <w:sz w:val="24"/>
              </w:rPr>
            </w:pPr>
            <w:r>
              <w:rPr>
                <w:rFonts w:hint="eastAsia" w:cs="仿宋"/>
                <w:kern w:val="0"/>
                <w:sz w:val="24"/>
              </w:rPr>
              <w:t>具体型号交货数量以甲方订货通知单为准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noWrap w:val="0"/>
            <w:vAlign w:val="top"/>
          </w:tcPr>
          <w:p>
            <w:pPr>
              <w:pStyle w:val="6"/>
              <w:ind w:firstLine="0" w:firstLineChars="0"/>
              <w:rPr>
                <w:rFonts w:cs="仿宋"/>
                <w:kern w:val="0"/>
                <w:sz w:val="24"/>
              </w:rPr>
            </w:pPr>
          </w:p>
        </w:tc>
        <w:tc>
          <w:tcPr>
            <w:tcW w:w="2535" w:type="dxa"/>
            <w:noWrap w:val="0"/>
            <w:vAlign w:val="center"/>
          </w:tcPr>
          <w:p>
            <w:pPr>
              <w:pStyle w:val="6"/>
              <w:ind w:firstLine="0" w:firstLineChars="0"/>
              <w:rPr>
                <w:rFonts w:cs="仿宋"/>
                <w:kern w:val="0"/>
                <w:sz w:val="24"/>
              </w:rPr>
            </w:pPr>
          </w:p>
        </w:tc>
        <w:tc>
          <w:tcPr>
            <w:tcW w:w="850" w:type="dxa"/>
            <w:noWrap w:val="0"/>
            <w:vAlign w:val="center"/>
          </w:tcPr>
          <w:p>
            <w:pPr>
              <w:pStyle w:val="6"/>
              <w:ind w:firstLine="0" w:firstLineChars="0"/>
              <w:rPr>
                <w:rFonts w:cs="仿宋"/>
                <w:kern w:val="0"/>
                <w:sz w:val="24"/>
              </w:rPr>
            </w:pPr>
          </w:p>
        </w:tc>
        <w:tc>
          <w:tcPr>
            <w:tcW w:w="921" w:type="dxa"/>
            <w:noWrap w:val="0"/>
            <w:vAlign w:val="center"/>
          </w:tcPr>
          <w:p>
            <w:pPr>
              <w:pStyle w:val="6"/>
              <w:ind w:firstLine="0" w:firstLineChars="0"/>
              <w:rPr>
                <w:rFonts w:cs="仿宋"/>
                <w:kern w:val="0"/>
                <w:sz w:val="24"/>
              </w:rPr>
            </w:pPr>
          </w:p>
        </w:tc>
        <w:tc>
          <w:tcPr>
            <w:tcW w:w="1106" w:type="dxa"/>
            <w:noWrap w:val="0"/>
            <w:vAlign w:val="center"/>
          </w:tcPr>
          <w:p>
            <w:pPr>
              <w:pStyle w:val="6"/>
              <w:ind w:firstLine="0" w:firstLineChars="0"/>
              <w:rPr>
                <w:rFonts w:cs="仿宋"/>
                <w:kern w:val="0"/>
                <w:sz w:val="24"/>
              </w:rPr>
            </w:pPr>
          </w:p>
        </w:tc>
        <w:tc>
          <w:tcPr>
            <w:tcW w:w="1712" w:type="dxa"/>
            <w:vMerge w:val="continue"/>
            <w:noWrap w:val="0"/>
            <w:vAlign w:val="center"/>
          </w:tcPr>
          <w:p>
            <w:pPr>
              <w:pStyle w:val="6"/>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1936" w:type="dxa"/>
            <w:noWrap w:val="0"/>
            <w:vAlign w:val="top"/>
          </w:tcPr>
          <w:p>
            <w:pPr>
              <w:pStyle w:val="6"/>
              <w:ind w:firstLine="0" w:firstLineChars="0"/>
              <w:rPr>
                <w:rFonts w:cs="仿宋"/>
                <w:kern w:val="0"/>
                <w:sz w:val="24"/>
              </w:rPr>
            </w:pPr>
          </w:p>
        </w:tc>
        <w:tc>
          <w:tcPr>
            <w:tcW w:w="2535" w:type="dxa"/>
            <w:noWrap w:val="0"/>
            <w:vAlign w:val="center"/>
          </w:tcPr>
          <w:p>
            <w:pPr>
              <w:pStyle w:val="6"/>
              <w:ind w:firstLine="0" w:firstLineChars="0"/>
              <w:rPr>
                <w:rFonts w:cs="仿宋"/>
                <w:kern w:val="0"/>
                <w:sz w:val="24"/>
              </w:rPr>
            </w:pPr>
          </w:p>
        </w:tc>
        <w:tc>
          <w:tcPr>
            <w:tcW w:w="850" w:type="dxa"/>
            <w:noWrap w:val="0"/>
            <w:vAlign w:val="center"/>
          </w:tcPr>
          <w:p>
            <w:pPr>
              <w:pStyle w:val="6"/>
              <w:ind w:firstLine="0" w:firstLineChars="0"/>
              <w:rPr>
                <w:rFonts w:cs="仿宋"/>
                <w:kern w:val="0"/>
                <w:sz w:val="24"/>
              </w:rPr>
            </w:pPr>
          </w:p>
        </w:tc>
        <w:tc>
          <w:tcPr>
            <w:tcW w:w="921" w:type="dxa"/>
            <w:noWrap w:val="0"/>
            <w:vAlign w:val="center"/>
          </w:tcPr>
          <w:p>
            <w:pPr>
              <w:pStyle w:val="6"/>
              <w:ind w:firstLine="0" w:firstLineChars="0"/>
              <w:rPr>
                <w:rFonts w:cs="仿宋"/>
                <w:kern w:val="0"/>
                <w:sz w:val="24"/>
              </w:rPr>
            </w:pPr>
          </w:p>
        </w:tc>
        <w:tc>
          <w:tcPr>
            <w:tcW w:w="1106" w:type="dxa"/>
            <w:noWrap w:val="0"/>
            <w:vAlign w:val="center"/>
          </w:tcPr>
          <w:p>
            <w:pPr>
              <w:pStyle w:val="6"/>
              <w:ind w:firstLine="0" w:firstLineChars="0"/>
              <w:rPr>
                <w:rFonts w:cs="仿宋"/>
                <w:kern w:val="0"/>
                <w:sz w:val="24"/>
              </w:rPr>
            </w:pPr>
          </w:p>
        </w:tc>
        <w:tc>
          <w:tcPr>
            <w:tcW w:w="1712" w:type="dxa"/>
            <w:vMerge w:val="continue"/>
            <w:noWrap w:val="0"/>
            <w:vAlign w:val="center"/>
          </w:tcPr>
          <w:p>
            <w:pPr>
              <w:pStyle w:val="6"/>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936" w:type="dxa"/>
            <w:noWrap w:val="0"/>
            <w:vAlign w:val="top"/>
          </w:tcPr>
          <w:p>
            <w:pPr>
              <w:pStyle w:val="6"/>
              <w:ind w:firstLine="0" w:firstLineChars="0"/>
              <w:rPr>
                <w:rFonts w:cs="仿宋"/>
                <w:kern w:val="0"/>
                <w:sz w:val="24"/>
              </w:rPr>
            </w:pPr>
          </w:p>
        </w:tc>
        <w:tc>
          <w:tcPr>
            <w:tcW w:w="2535" w:type="dxa"/>
            <w:noWrap w:val="0"/>
            <w:vAlign w:val="center"/>
          </w:tcPr>
          <w:p>
            <w:pPr>
              <w:pStyle w:val="6"/>
              <w:ind w:firstLine="0" w:firstLineChars="0"/>
              <w:rPr>
                <w:rFonts w:cs="仿宋"/>
                <w:kern w:val="0"/>
                <w:sz w:val="24"/>
              </w:rPr>
            </w:pPr>
          </w:p>
        </w:tc>
        <w:tc>
          <w:tcPr>
            <w:tcW w:w="850" w:type="dxa"/>
            <w:noWrap w:val="0"/>
            <w:vAlign w:val="center"/>
          </w:tcPr>
          <w:p>
            <w:pPr>
              <w:pStyle w:val="6"/>
              <w:ind w:firstLine="0" w:firstLineChars="0"/>
              <w:rPr>
                <w:rFonts w:cs="仿宋"/>
                <w:kern w:val="0"/>
                <w:sz w:val="24"/>
              </w:rPr>
            </w:pPr>
          </w:p>
        </w:tc>
        <w:tc>
          <w:tcPr>
            <w:tcW w:w="921" w:type="dxa"/>
            <w:noWrap w:val="0"/>
            <w:vAlign w:val="center"/>
          </w:tcPr>
          <w:p>
            <w:pPr>
              <w:pStyle w:val="6"/>
              <w:ind w:firstLine="0" w:firstLineChars="0"/>
              <w:rPr>
                <w:rFonts w:cs="仿宋"/>
                <w:kern w:val="0"/>
                <w:sz w:val="24"/>
              </w:rPr>
            </w:pPr>
          </w:p>
        </w:tc>
        <w:tc>
          <w:tcPr>
            <w:tcW w:w="1106" w:type="dxa"/>
            <w:noWrap w:val="0"/>
            <w:vAlign w:val="center"/>
          </w:tcPr>
          <w:p>
            <w:pPr>
              <w:pStyle w:val="6"/>
              <w:ind w:firstLine="0" w:firstLineChars="0"/>
              <w:rPr>
                <w:rFonts w:cs="仿宋"/>
                <w:kern w:val="0"/>
                <w:sz w:val="24"/>
              </w:rPr>
            </w:pPr>
          </w:p>
        </w:tc>
        <w:tc>
          <w:tcPr>
            <w:tcW w:w="1712" w:type="dxa"/>
            <w:vMerge w:val="continue"/>
            <w:noWrap w:val="0"/>
            <w:vAlign w:val="center"/>
          </w:tcPr>
          <w:p>
            <w:pPr>
              <w:pStyle w:val="6"/>
              <w:ind w:firstLine="0" w:firstLineChars="0"/>
              <w:rPr>
                <w:rFonts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9060" w:type="dxa"/>
            <w:gridSpan w:val="6"/>
            <w:noWrap w:val="0"/>
            <w:vAlign w:val="top"/>
          </w:tcPr>
          <w:p>
            <w:pPr>
              <w:pStyle w:val="6"/>
              <w:ind w:firstLine="0" w:firstLineChars="0"/>
              <w:rPr>
                <w:rFonts w:cs="仿宋"/>
                <w:kern w:val="0"/>
                <w:sz w:val="24"/>
              </w:rPr>
            </w:pPr>
            <w:r>
              <w:rPr>
                <w:rFonts w:hint="eastAsia" w:cs="仿宋"/>
                <w:kern w:val="0"/>
                <w:sz w:val="24"/>
              </w:rPr>
              <w:t>总金额：</w:t>
            </w:r>
            <w:r>
              <w:rPr>
                <w:rFonts w:hint="eastAsia" w:cs="仿宋"/>
                <w:kern w:val="0"/>
                <w:sz w:val="24"/>
                <w:u w:val="single"/>
              </w:rPr>
              <w:t xml:space="preserve"> ￥: </w:t>
            </w:r>
            <w:r>
              <w:rPr>
                <w:rFonts w:hint="eastAsia" w:cs="仿宋"/>
                <w:kern w:val="0"/>
                <w:sz w:val="24"/>
              </w:rPr>
              <w:t>元 （人民币大写: ）</w:t>
            </w:r>
          </w:p>
        </w:tc>
      </w:tr>
    </w:tbl>
    <w:p>
      <w:pPr>
        <w:pStyle w:val="6"/>
        <w:spacing w:line="440" w:lineRule="exact"/>
        <w:ind w:firstLine="480"/>
        <w:rPr>
          <w:kern w:val="0"/>
          <w:sz w:val="24"/>
        </w:rPr>
      </w:pPr>
      <w:r>
        <w:rPr>
          <w:rFonts w:hint="eastAsia"/>
          <w:kern w:val="0"/>
          <w:sz w:val="24"/>
        </w:rPr>
        <w:t>注：①填写内容超过五行可以附表</w:t>
      </w:r>
    </w:p>
    <w:p>
      <w:pPr>
        <w:pStyle w:val="6"/>
        <w:spacing w:line="440" w:lineRule="exact"/>
        <w:ind w:firstLine="480"/>
        <w:rPr>
          <w:kern w:val="0"/>
          <w:sz w:val="24"/>
        </w:rPr>
      </w:pPr>
      <w:r>
        <w:rPr>
          <w:rFonts w:hint="eastAsia"/>
          <w:kern w:val="0"/>
          <w:sz w:val="24"/>
        </w:rPr>
        <w:t>②本合同所约定的货币为人民币</w:t>
      </w:r>
    </w:p>
    <w:p>
      <w:pPr>
        <w:pStyle w:val="6"/>
        <w:spacing w:line="440" w:lineRule="exact"/>
        <w:ind w:firstLine="480"/>
        <w:rPr>
          <w:kern w:val="0"/>
          <w:sz w:val="24"/>
        </w:rPr>
      </w:pPr>
      <w:r>
        <w:rPr>
          <w:rFonts w:hint="eastAsia"/>
          <w:kern w:val="0"/>
          <w:sz w:val="24"/>
        </w:rPr>
        <w:t>③本合同金额为含税价，税率为</w:t>
      </w:r>
      <w:r>
        <w:rPr>
          <w:rFonts w:hint="eastAsia"/>
          <w:kern w:val="0"/>
          <w:sz w:val="24"/>
          <w:u w:val="single"/>
        </w:rPr>
        <w:t xml:space="preserve">   </w:t>
      </w:r>
      <w:r>
        <w:rPr>
          <w:rFonts w:hint="eastAsia"/>
          <w:kern w:val="0"/>
          <w:sz w:val="24"/>
        </w:rPr>
        <w:t>%</w:t>
      </w:r>
    </w:p>
    <w:p>
      <w:pPr>
        <w:pStyle w:val="6"/>
        <w:spacing w:line="440" w:lineRule="exact"/>
        <w:ind w:firstLine="480"/>
        <w:rPr>
          <w:kern w:val="0"/>
          <w:sz w:val="24"/>
        </w:rPr>
      </w:pPr>
      <w:r>
        <w:rPr>
          <w:rFonts w:hint="eastAsia"/>
          <w:kern w:val="0"/>
          <w:sz w:val="24"/>
        </w:rPr>
        <w:t>④甲方向乙方送达订货通知单，乙方应在甲方发出订货通知单之日起</w:t>
      </w:r>
      <w:r>
        <w:rPr>
          <w:rFonts w:hint="eastAsia"/>
          <w:kern w:val="0"/>
          <w:sz w:val="24"/>
          <w:u w:val="single"/>
        </w:rPr>
        <w:t xml:space="preserve">  12  </w:t>
      </w:r>
      <w:r>
        <w:rPr>
          <w:rFonts w:hint="eastAsia"/>
          <w:kern w:val="0"/>
          <w:sz w:val="24"/>
        </w:rPr>
        <w:t>小时内予以确认并回传，否则甲方视同乙方同意订货通知单的要求。订货通知单作为本合同有效组成部分。甲方因生产计划变动通知乙方变更或取消订货通知单的，甲乙双方协商解决。</w:t>
      </w:r>
    </w:p>
    <w:p>
      <w:pPr>
        <w:pStyle w:val="6"/>
        <w:spacing w:line="440" w:lineRule="exact"/>
        <w:ind w:firstLine="480"/>
        <w:rPr>
          <w:kern w:val="0"/>
          <w:sz w:val="24"/>
        </w:rPr>
      </w:pPr>
      <w:r>
        <w:rPr>
          <w:rFonts w:hint="eastAsia"/>
          <w:kern w:val="0"/>
          <w:sz w:val="24"/>
        </w:rPr>
        <w:t>⑤乙方供应的货物价格若因市场原因需要调整的，甲方自行进行市场调查，以甲方书面确认价格为准或者经甲方书面同意后，乙方可书面将价格报经甲方审批，以甲方书面确认的价格为准。</w:t>
      </w:r>
    </w:p>
    <w:p>
      <w:pPr>
        <w:pStyle w:val="6"/>
        <w:spacing w:line="440" w:lineRule="exact"/>
        <w:ind w:firstLine="482"/>
        <w:rPr>
          <w:b/>
          <w:bCs/>
          <w:kern w:val="0"/>
          <w:sz w:val="24"/>
        </w:rPr>
      </w:pPr>
      <w:r>
        <w:rPr>
          <w:rFonts w:hint="eastAsia"/>
          <w:b/>
          <w:bCs/>
          <w:kern w:val="0"/>
          <w:sz w:val="24"/>
        </w:rPr>
        <w:t>二、质量要求、标准</w:t>
      </w:r>
    </w:p>
    <w:p>
      <w:pPr>
        <w:pStyle w:val="6"/>
        <w:spacing w:line="440" w:lineRule="exact"/>
        <w:ind w:firstLine="480"/>
        <w:rPr>
          <w:kern w:val="0"/>
          <w:sz w:val="24"/>
        </w:rPr>
      </w:pPr>
      <w:r>
        <w:rPr>
          <w:rFonts w:hint="eastAsia"/>
          <w:kern w:val="0"/>
          <w:sz w:val="24"/>
        </w:rPr>
        <w:t>1、</w:t>
      </w:r>
      <w:r>
        <w:rPr>
          <w:rFonts w:hint="eastAsia"/>
          <w:kern w:val="0"/>
          <w:sz w:val="24"/>
          <w:u w:val="single"/>
        </w:rPr>
        <w:t>乙方供应的货物应符合国家、行业现行有效标准和生产厂家出厂标准及甲方采购需求的技术要求。</w:t>
      </w:r>
    </w:p>
    <w:p>
      <w:pPr>
        <w:pStyle w:val="6"/>
        <w:spacing w:line="440" w:lineRule="exact"/>
        <w:ind w:firstLine="482"/>
        <w:rPr>
          <w:b/>
          <w:bCs/>
          <w:kern w:val="0"/>
          <w:sz w:val="24"/>
        </w:rPr>
      </w:pPr>
      <w:r>
        <w:rPr>
          <w:rFonts w:hint="eastAsia"/>
          <w:b/>
          <w:bCs/>
          <w:kern w:val="0"/>
          <w:sz w:val="24"/>
        </w:rPr>
        <w:t>三、包装标准</w:t>
      </w:r>
    </w:p>
    <w:p>
      <w:pPr>
        <w:pStyle w:val="6"/>
        <w:spacing w:line="440" w:lineRule="exact"/>
        <w:ind w:firstLine="480"/>
        <w:rPr>
          <w:kern w:val="0"/>
          <w:sz w:val="24"/>
        </w:rPr>
      </w:pPr>
      <w:r>
        <w:rPr>
          <w:rFonts w:hint="eastAsia"/>
          <w:kern w:val="0"/>
          <w:sz w:val="24"/>
        </w:rPr>
        <w:t>1、乙方负责货物包装及费用，包装不回收。</w:t>
      </w:r>
    </w:p>
    <w:p>
      <w:pPr>
        <w:pStyle w:val="6"/>
        <w:spacing w:line="440" w:lineRule="exact"/>
        <w:ind w:firstLine="480"/>
        <w:rPr>
          <w:kern w:val="0"/>
          <w:sz w:val="24"/>
        </w:rPr>
      </w:pPr>
      <w:r>
        <w:rPr>
          <w:rFonts w:hint="eastAsia"/>
          <w:kern w:val="0"/>
          <w:sz w:val="24"/>
        </w:rPr>
        <w:t>2、货物包装应符合国家、行业现行有效标准要求。</w:t>
      </w:r>
    </w:p>
    <w:p>
      <w:pPr>
        <w:pStyle w:val="6"/>
        <w:spacing w:line="440" w:lineRule="exact"/>
        <w:ind w:firstLine="480"/>
        <w:rPr>
          <w:kern w:val="0"/>
          <w:sz w:val="24"/>
        </w:rPr>
      </w:pPr>
      <w:r>
        <w:rPr>
          <w:rFonts w:hint="eastAsia"/>
          <w:kern w:val="0"/>
          <w:sz w:val="24"/>
        </w:rPr>
        <w:t>3、包装必须保证货物能适合于长途运输、装卸、搬运和不受灭失、毁损，能有效地保护货物，并在</w:t>
      </w:r>
      <w:r>
        <w:rPr>
          <w:rFonts w:hint="eastAsia"/>
          <w:kern w:val="0"/>
          <w:sz w:val="24"/>
          <w:u w:val="single"/>
        </w:rPr>
        <w:t xml:space="preserve"> 一 年</w:t>
      </w:r>
      <w:r>
        <w:rPr>
          <w:rFonts w:hint="eastAsia"/>
          <w:kern w:val="0"/>
          <w:sz w:val="24"/>
        </w:rPr>
        <w:t>内防潮、防锈。</w:t>
      </w:r>
    </w:p>
    <w:p>
      <w:pPr>
        <w:pStyle w:val="6"/>
        <w:spacing w:line="440" w:lineRule="exact"/>
        <w:ind w:firstLine="482"/>
        <w:rPr>
          <w:b/>
          <w:bCs/>
          <w:kern w:val="0"/>
          <w:sz w:val="24"/>
        </w:rPr>
      </w:pPr>
      <w:r>
        <w:rPr>
          <w:rFonts w:hint="eastAsia"/>
          <w:b/>
          <w:bCs/>
          <w:kern w:val="0"/>
          <w:sz w:val="24"/>
        </w:rPr>
        <w:t>四、交货时间、地点</w:t>
      </w:r>
    </w:p>
    <w:p>
      <w:pPr>
        <w:pStyle w:val="6"/>
        <w:spacing w:line="440" w:lineRule="exact"/>
        <w:ind w:firstLine="480"/>
        <w:rPr>
          <w:kern w:val="0"/>
          <w:sz w:val="24"/>
        </w:rPr>
      </w:pPr>
      <w:r>
        <w:rPr>
          <w:rFonts w:hint="eastAsia"/>
          <w:kern w:val="0"/>
          <w:sz w:val="24"/>
        </w:rPr>
        <w:t>1、乙方应于甲方订货通知单中指定时间内将全部货物送达至甲方指定地点。</w:t>
      </w:r>
    </w:p>
    <w:p>
      <w:pPr>
        <w:pStyle w:val="6"/>
        <w:spacing w:line="440" w:lineRule="exact"/>
        <w:ind w:firstLine="480"/>
        <w:rPr>
          <w:kern w:val="0"/>
          <w:sz w:val="24"/>
        </w:rPr>
      </w:pPr>
      <w:r>
        <w:rPr>
          <w:rFonts w:hint="eastAsia"/>
          <w:kern w:val="0"/>
          <w:sz w:val="24"/>
        </w:rPr>
        <w:t>2、在运输过程中所发生的一切费用与风险均由乙方承担。</w:t>
      </w:r>
    </w:p>
    <w:p>
      <w:pPr>
        <w:pStyle w:val="6"/>
        <w:spacing w:line="440" w:lineRule="exact"/>
        <w:ind w:firstLine="482"/>
        <w:rPr>
          <w:kern w:val="0"/>
          <w:sz w:val="24"/>
        </w:rPr>
      </w:pPr>
      <w:r>
        <w:rPr>
          <w:rFonts w:hint="eastAsia"/>
          <w:b/>
          <w:bCs/>
          <w:kern w:val="0"/>
          <w:sz w:val="24"/>
        </w:rPr>
        <w:t>五、验收方式、标准</w:t>
      </w:r>
    </w:p>
    <w:p>
      <w:pPr>
        <w:pStyle w:val="6"/>
        <w:spacing w:line="440" w:lineRule="exact"/>
        <w:ind w:firstLine="480"/>
        <w:rPr>
          <w:kern w:val="0"/>
          <w:sz w:val="24"/>
        </w:rPr>
      </w:pPr>
      <w:r>
        <w:rPr>
          <w:rFonts w:hint="eastAsia"/>
          <w:kern w:val="0"/>
          <w:sz w:val="24"/>
        </w:rPr>
        <w:t>1、甲方按本合同第二条约定及以下方式进行验收：</w:t>
      </w:r>
    </w:p>
    <w:p>
      <w:pPr>
        <w:pStyle w:val="6"/>
        <w:spacing w:line="440" w:lineRule="exact"/>
        <w:ind w:firstLine="480"/>
        <w:rPr>
          <w:kern w:val="0"/>
          <w:sz w:val="24"/>
        </w:rPr>
      </w:pPr>
      <w:r>
        <w:rPr>
          <w:rFonts w:hint="eastAsia"/>
          <w:kern w:val="0"/>
          <w:sz w:val="24"/>
        </w:rPr>
        <w:t>1.1、第一次验收在乙方工厂进行出厂前的预验收。</w:t>
      </w:r>
    </w:p>
    <w:p>
      <w:pPr>
        <w:pStyle w:val="6"/>
        <w:spacing w:line="440" w:lineRule="exact"/>
        <w:ind w:firstLine="480"/>
        <w:rPr>
          <w:kern w:val="0"/>
          <w:sz w:val="24"/>
        </w:rPr>
      </w:pPr>
      <w:r>
        <w:rPr>
          <w:rFonts w:hint="eastAsia"/>
          <w:kern w:val="0"/>
          <w:sz w:val="24"/>
        </w:rPr>
        <w:t>1.2. 货物交付完毕两个月无问题后，进行中期验收。中期验收完成后甲方出具验收报告，设备进入质保期。</w:t>
      </w:r>
    </w:p>
    <w:p>
      <w:pPr>
        <w:pStyle w:val="6"/>
        <w:spacing w:line="440" w:lineRule="exact"/>
        <w:ind w:firstLine="480"/>
        <w:rPr>
          <w:kern w:val="0"/>
          <w:sz w:val="24"/>
        </w:rPr>
      </w:pPr>
      <w:r>
        <w:rPr>
          <w:rFonts w:hint="eastAsia"/>
          <w:kern w:val="0"/>
          <w:sz w:val="24"/>
        </w:rPr>
        <w:t>1.3. 质保期满进行终验收。如果乙方供应货物与本合同约定存在品种、型号、规格、质量不符合甲方图纸的技术要求的，如果甲方可以利用的，应当按质论价；如果产品质量不能满足要求的，乙方负责包退、包换和修理，所有费用由乙方承担，同时乙方更换货物的质保期重新起算。</w:t>
      </w:r>
    </w:p>
    <w:p>
      <w:pPr>
        <w:pStyle w:val="6"/>
        <w:spacing w:line="440" w:lineRule="exact"/>
        <w:ind w:firstLine="480"/>
        <w:rPr>
          <w:kern w:val="0"/>
          <w:sz w:val="24"/>
        </w:rPr>
      </w:pPr>
      <w:r>
        <w:rPr>
          <w:rFonts w:hint="eastAsia"/>
          <w:kern w:val="0"/>
          <w:sz w:val="24"/>
        </w:rPr>
        <w:t>2、乙方应于指定时间内将全部货物送达至甲方指定地点，交付给甲方验收前，发生任何灭失、毁损的，均由乙方负责。</w:t>
      </w:r>
    </w:p>
    <w:p>
      <w:pPr>
        <w:pStyle w:val="6"/>
        <w:spacing w:line="440" w:lineRule="exact"/>
        <w:ind w:firstLine="480"/>
        <w:rPr>
          <w:kern w:val="0"/>
          <w:sz w:val="24"/>
        </w:rPr>
      </w:pPr>
      <w:r>
        <w:rPr>
          <w:rFonts w:hint="eastAsia"/>
          <w:kern w:val="0"/>
          <w:sz w:val="24"/>
        </w:rPr>
        <w:t>3、货物在甲方验收合格并交付甲方正常使用前，发生任何灭失、毁损的，概由乙方负责赔偿。</w:t>
      </w:r>
    </w:p>
    <w:p>
      <w:pPr>
        <w:pStyle w:val="6"/>
        <w:spacing w:line="440" w:lineRule="exact"/>
        <w:ind w:firstLine="482"/>
        <w:rPr>
          <w:b/>
          <w:bCs/>
          <w:kern w:val="0"/>
          <w:sz w:val="24"/>
        </w:rPr>
      </w:pPr>
      <w:r>
        <w:rPr>
          <w:rFonts w:hint="eastAsia"/>
          <w:b/>
          <w:bCs/>
          <w:kern w:val="0"/>
          <w:sz w:val="24"/>
        </w:rPr>
        <w:t>六、质量保证</w:t>
      </w:r>
    </w:p>
    <w:p>
      <w:pPr>
        <w:pStyle w:val="6"/>
        <w:spacing w:line="440" w:lineRule="exact"/>
        <w:ind w:firstLine="480"/>
        <w:rPr>
          <w:kern w:val="0"/>
          <w:sz w:val="24"/>
        </w:rPr>
      </w:pPr>
      <w:r>
        <w:rPr>
          <w:rFonts w:hint="eastAsia"/>
          <w:kern w:val="0"/>
          <w:sz w:val="24"/>
        </w:rPr>
        <w:t>1、质保期期限为</w:t>
      </w:r>
      <w:r>
        <w:rPr>
          <w:rFonts w:hint="eastAsia"/>
          <w:color w:val="FF0000"/>
          <w:kern w:val="0"/>
          <w:sz w:val="24"/>
          <w:u w:val="single"/>
        </w:rPr>
        <w:t xml:space="preserve">  一 </w:t>
      </w:r>
      <w:r>
        <w:rPr>
          <w:rFonts w:hint="eastAsia"/>
          <w:kern w:val="0"/>
          <w:sz w:val="24"/>
          <w:u w:val="single"/>
        </w:rPr>
        <w:t xml:space="preserve"> </w:t>
      </w:r>
      <w:r>
        <w:rPr>
          <w:rFonts w:hint="eastAsia"/>
          <w:kern w:val="0"/>
          <w:sz w:val="24"/>
        </w:rPr>
        <w:t>年。</w:t>
      </w:r>
    </w:p>
    <w:p>
      <w:pPr>
        <w:pStyle w:val="6"/>
        <w:spacing w:line="440" w:lineRule="exact"/>
        <w:ind w:firstLine="480"/>
        <w:rPr>
          <w:kern w:val="0"/>
          <w:sz w:val="24"/>
        </w:rPr>
      </w:pPr>
      <w:r>
        <w:rPr>
          <w:rFonts w:hint="eastAsia"/>
          <w:kern w:val="0"/>
          <w:sz w:val="24"/>
        </w:rPr>
        <w:t>2、在质保期内货物出现任何质量问题的，乙方应按甲方要求实行免费退货、换货和维修的质保服务，并承担因退货、换货和维修而发生的一切费用。</w:t>
      </w:r>
    </w:p>
    <w:p>
      <w:pPr>
        <w:pStyle w:val="6"/>
        <w:spacing w:line="440" w:lineRule="exact"/>
        <w:ind w:firstLine="480"/>
        <w:rPr>
          <w:kern w:val="0"/>
          <w:sz w:val="24"/>
        </w:rPr>
      </w:pPr>
      <w:r>
        <w:rPr>
          <w:rFonts w:hint="eastAsia"/>
          <w:kern w:val="0"/>
          <w:sz w:val="24"/>
        </w:rPr>
        <w:t>3、若甲方要求乙方维修的，乙方应自甲方发出维修通知后</w:t>
      </w:r>
      <w:r>
        <w:rPr>
          <w:rFonts w:hint="eastAsia"/>
          <w:kern w:val="0"/>
          <w:sz w:val="24"/>
          <w:u w:val="single"/>
        </w:rPr>
        <w:t xml:space="preserve">    </w:t>
      </w:r>
      <w:r>
        <w:rPr>
          <w:rFonts w:hint="eastAsia"/>
          <w:kern w:val="0"/>
          <w:sz w:val="24"/>
        </w:rPr>
        <w:t>日到达现场，并于</w:t>
      </w:r>
      <w:r>
        <w:rPr>
          <w:rFonts w:hint="eastAsia"/>
          <w:kern w:val="0"/>
          <w:sz w:val="24"/>
          <w:u w:val="single"/>
        </w:rPr>
        <w:t xml:space="preserve">    </w:t>
      </w:r>
      <w:r>
        <w:rPr>
          <w:rFonts w:hint="eastAsia"/>
          <w:kern w:val="0"/>
          <w:sz w:val="24"/>
        </w:rPr>
        <w:t>日完成维修工作并经甲方书面确认，维修部位自甲方书面确认之日起重新计算质保期；若甲方要求乙方换货的，乙方应自甲方发出换货通知后</w:t>
      </w:r>
      <w:r>
        <w:rPr>
          <w:rFonts w:hint="eastAsia"/>
          <w:kern w:val="0"/>
          <w:sz w:val="24"/>
          <w:u w:val="single"/>
        </w:rPr>
        <w:t xml:space="preserve">    </w:t>
      </w:r>
      <w:r>
        <w:rPr>
          <w:rFonts w:hint="eastAsia"/>
          <w:kern w:val="0"/>
          <w:sz w:val="24"/>
        </w:rPr>
        <w:t>日内重新更换合格产品交付给甲方，甲方按本合同第五条约定进行验收，乙方逾期交货应按本合同第八条约定向甲方承担逾期交货违约责任，同时重新更换货物自甲方书面确认之日起重新计算质保期；若甲方要求乙方退货的，乙方应当立即退还甲方的已支付的全部货款。</w:t>
      </w:r>
    </w:p>
    <w:p>
      <w:pPr>
        <w:pStyle w:val="6"/>
        <w:spacing w:line="440" w:lineRule="exact"/>
        <w:ind w:firstLine="480"/>
        <w:rPr>
          <w:kern w:val="0"/>
          <w:sz w:val="24"/>
        </w:rPr>
      </w:pPr>
      <w:r>
        <w:rPr>
          <w:rFonts w:hint="eastAsia"/>
          <w:kern w:val="0"/>
          <w:sz w:val="24"/>
        </w:rPr>
        <w:t>4、若乙方不按甲方要求提供服务或没有在规定时间内完成服务的，因此给甲方造成的损失由乙方赔偿。同时甲方有权请第三方进行质保服务，因此发生的一切费用由乙方承担。</w:t>
      </w:r>
    </w:p>
    <w:p>
      <w:pPr>
        <w:pStyle w:val="6"/>
        <w:spacing w:line="440" w:lineRule="exact"/>
        <w:ind w:firstLine="480"/>
        <w:rPr>
          <w:kern w:val="0"/>
          <w:sz w:val="24"/>
        </w:rPr>
      </w:pPr>
      <w:r>
        <w:rPr>
          <w:rFonts w:hint="eastAsia"/>
          <w:kern w:val="0"/>
          <w:sz w:val="24"/>
        </w:rPr>
        <w:t>5、经甲方判定需由乙方退货或换货的货物，乙方应接到甲方通知之日起</w:t>
      </w:r>
      <w:r>
        <w:rPr>
          <w:rFonts w:hint="eastAsia"/>
          <w:kern w:val="0"/>
          <w:sz w:val="24"/>
          <w:u w:val="single"/>
        </w:rPr>
        <w:t xml:space="preserve"> 五 </w:t>
      </w:r>
      <w:r>
        <w:rPr>
          <w:rFonts w:hint="eastAsia"/>
          <w:kern w:val="0"/>
          <w:sz w:val="24"/>
        </w:rPr>
        <w:t>日到达现场进行协调处置事宜。逾期未予以处置的，甲方有权自行处置，处置所得收益归甲方所有，用于支付由此所发生的仓储、保管、运输、装卸等一切费用和劳务报酬由乙方负责承担，同时乙方同意视同货物已退回，甲方有权冲抵乙方相应货款或要求其重新供货。</w:t>
      </w:r>
    </w:p>
    <w:p>
      <w:pPr>
        <w:pStyle w:val="6"/>
        <w:spacing w:line="440" w:lineRule="exact"/>
        <w:ind w:firstLine="480"/>
        <w:rPr>
          <w:kern w:val="0"/>
          <w:sz w:val="24"/>
        </w:rPr>
      </w:pPr>
      <w:r>
        <w:rPr>
          <w:rFonts w:hint="eastAsia"/>
          <w:kern w:val="0"/>
          <w:sz w:val="24"/>
        </w:rPr>
        <w:t>6、质保期满后，乙方还应提供维修服务，仅收更换零部件的成本费（以甲方确认的维修时同类或类似零部件的批发价为准），不得收取其它费用。</w:t>
      </w:r>
    </w:p>
    <w:p>
      <w:pPr>
        <w:pStyle w:val="6"/>
        <w:spacing w:line="440" w:lineRule="exact"/>
        <w:ind w:firstLine="480"/>
        <w:rPr>
          <w:kern w:val="0"/>
          <w:sz w:val="24"/>
        </w:rPr>
      </w:pPr>
      <w:r>
        <w:rPr>
          <w:rFonts w:hint="eastAsia"/>
          <w:kern w:val="0"/>
          <w:sz w:val="24"/>
        </w:rPr>
        <w:t>7、乙方保证其所供应的货物应是全新的、未使用过的，同时不存在设计、材料或工艺上的瑕疵或缺陷。</w:t>
      </w:r>
    </w:p>
    <w:p>
      <w:pPr>
        <w:pStyle w:val="6"/>
        <w:spacing w:line="440" w:lineRule="exact"/>
        <w:ind w:firstLine="480"/>
        <w:rPr>
          <w:kern w:val="0"/>
          <w:sz w:val="24"/>
        </w:rPr>
      </w:pPr>
      <w:r>
        <w:rPr>
          <w:rFonts w:hint="eastAsia"/>
          <w:kern w:val="0"/>
          <w:sz w:val="24"/>
        </w:rPr>
        <w:t>8、乙方保证所供货物能够完全适用于甲方产品，能完全符合甲方随时提出的质量、工艺、环保、材料及规格上的要求，确保甲方产品不会因乙方所供应货物而存在任何质量问题，不会使甲方承担与产品质量和产品使用材料有关的任何法律责任。</w:t>
      </w:r>
    </w:p>
    <w:p>
      <w:pPr>
        <w:pStyle w:val="6"/>
        <w:spacing w:line="440" w:lineRule="exact"/>
        <w:ind w:firstLine="482"/>
        <w:rPr>
          <w:b/>
          <w:bCs/>
          <w:kern w:val="0"/>
          <w:sz w:val="24"/>
        </w:rPr>
      </w:pPr>
      <w:r>
        <w:rPr>
          <w:rFonts w:hint="eastAsia"/>
          <w:b/>
          <w:bCs/>
          <w:kern w:val="0"/>
          <w:sz w:val="24"/>
        </w:rPr>
        <w:t>七、结算方式</w:t>
      </w:r>
    </w:p>
    <w:p>
      <w:pPr>
        <w:pStyle w:val="6"/>
        <w:spacing w:line="440" w:lineRule="exact"/>
        <w:ind w:firstLine="480"/>
        <w:rPr>
          <w:kern w:val="0"/>
          <w:sz w:val="24"/>
        </w:rPr>
      </w:pPr>
      <w:r>
        <w:rPr>
          <w:rFonts w:hint="eastAsia"/>
          <w:kern w:val="0"/>
          <w:sz w:val="24"/>
        </w:rPr>
        <w:t>双方同意选择下列第</w:t>
      </w:r>
      <w:r>
        <w:rPr>
          <w:rFonts w:hint="eastAsia"/>
          <w:kern w:val="0"/>
          <w:sz w:val="24"/>
          <w:u w:val="single"/>
        </w:rPr>
        <w:t xml:space="preserve">      </w:t>
      </w:r>
      <w:r>
        <w:rPr>
          <w:rFonts w:hint="eastAsia"/>
          <w:kern w:val="0"/>
          <w:sz w:val="24"/>
        </w:rPr>
        <w:t>种结算货款:（只能选择一种结算方式）</w:t>
      </w:r>
    </w:p>
    <w:p>
      <w:pPr>
        <w:pStyle w:val="6"/>
        <w:spacing w:line="440" w:lineRule="exact"/>
        <w:ind w:firstLine="480"/>
        <w:rPr>
          <w:kern w:val="0"/>
          <w:sz w:val="24"/>
        </w:rPr>
      </w:pPr>
      <w:r>
        <w:rPr>
          <w:rFonts w:hint="eastAsia"/>
          <w:kern w:val="0"/>
          <w:sz w:val="24"/>
        </w:rPr>
        <w:t>①乙方供应的货物送至甲方指定的地点，经甲方验收合格交付正常使用后，且乙方开具的正规发票入甲方帐户满</w:t>
      </w:r>
      <w:r>
        <w:rPr>
          <w:rFonts w:hint="eastAsia"/>
          <w:kern w:val="0"/>
          <w:sz w:val="24"/>
          <w:u w:val="single"/>
        </w:rPr>
        <w:t xml:space="preserve">    </w:t>
      </w:r>
      <w:r>
        <w:rPr>
          <w:rFonts w:hint="eastAsia"/>
          <w:kern w:val="0"/>
          <w:sz w:val="24"/>
        </w:rPr>
        <w:t>天为货款到期日，甲方以</w:t>
      </w:r>
      <w:r>
        <w:rPr>
          <w:rFonts w:hint="eastAsia"/>
          <w:kern w:val="0"/>
          <w:sz w:val="24"/>
          <w:u w:val="single"/>
        </w:rPr>
        <w:t xml:space="preserve">     </w:t>
      </w:r>
      <w:r>
        <w:rPr>
          <w:rFonts w:hint="eastAsia"/>
          <w:kern w:val="0"/>
          <w:sz w:val="24"/>
        </w:rPr>
        <w:t>形式支付。</w:t>
      </w:r>
    </w:p>
    <w:p>
      <w:pPr>
        <w:pStyle w:val="6"/>
        <w:spacing w:line="440" w:lineRule="exact"/>
        <w:ind w:firstLine="480"/>
        <w:rPr>
          <w:kern w:val="0"/>
          <w:sz w:val="24"/>
        </w:rPr>
      </w:pPr>
      <w:r>
        <w:rPr>
          <w:rFonts w:hint="eastAsia"/>
          <w:kern w:val="0"/>
          <w:sz w:val="24"/>
        </w:rPr>
        <w:t>②乙方供应的货物送至甲方指定的地点，经甲方验收合格交付正常使用后，且乙方开具的正规发票入甲方帐户后，甲方支付</w:t>
      </w:r>
      <w:r>
        <w:rPr>
          <w:rFonts w:hint="eastAsia"/>
          <w:kern w:val="0"/>
          <w:sz w:val="24"/>
          <w:u w:val="single"/>
        </w:rPr>
        <w:t xml:space="preserve">    %</w:t>
      </w:r>
      <w:r>
        <w:rPr>
          <w:rFonts w:hint="eastAsia"/>
          <w:kern w:val="0"/>
          <w:sz w:val="24"/>
        </w:rPr>
        <w:t>货款，余款</w:t>
      </w:r>
      <w:r>
        <w:rPr>
          <w:rFonts w:hint="eastAsia"/>
          <w:kern w:val="0"/>
          <w:sz w:val="24"/>
          <w:u w:val="single"/>
        </w:rPr>
        <w:t xml:space="preserve">    %</w:t>
      </w:r>
      <w:r>
        <w:rPr>
          <w:rFonts w:hint="eastAsia"/>
          <w:kern w:val="0"/>
          <w:sz w:val="24"/>
        </w:rPr>
        <w:t>作为质保金，质保期满后无质量问题可一次性付清，甲方以</w:t>
      </w:r>
      <w:r>
        <w:rPr>
          <w:rFonts w:hint="eastAsia"/>
          <w:kern w:val="0"/>
          <w:sz w:val="24"/>
          <w:u w:val="single"/>
        </w:rPr>
        <w:t xml:space="preserve">      </w:t>
      </w:r>
      <w:r>
        <w:rPr>
          <w:rFonts w:hint="eastAsia"/>
          <w:kern w:val="0"/>
          <w:sz w:val="24"/>
        </w:rPr>
        <w:t>形式支付。</w:t>
      </w:r>
    </w:p>
    <w:p>
      <w:pPr>
        <w:pStyle w:val="6"/>
        <w:spacing w:line="440" w:lineRule="exact"/>
        <w:ind w:firstLine="480"/>
        <w:rPr>
          <w:kern w:val="0"/>
          <w:sz w:val="24"/>
        </w:rPr>
      </w:pPr>
      <w:r>
        <w:rPr>
          <w:rFonts w:hint="eastAsia"/>
          <w:kern w:val="0"/>
          <w:sz w:val="24"/>
        </w:rPr>
        <w:t>③其它结算方式：货到验收合格后支付合同金额的</w:t>
      </w:r>
      <w:r>
        <w:rPr>
          <w:rFonts w:hint="eastAsia"/>
          <w:kern w:val="0"/>
          <w:sz w:val="24"/>
          <w:u w:val="single"/>
        </w:rPr>
        <w:t xml:space="preserve">    %</w:t>
      </w:r>
      <w:r>
        <w:rPr>
          <w:rFonts w:hint="eastAsia"/>
          <w:kern w:val="0"/>
          <w:sz w:val="24"/>
        </w:rPr>
        <w:t>，半年后支付合同金额的</w:t>
      </w:r>
      <w:r>
        <w:rPr>
          <w:rFonts w:hint="eastAsia"/>
          <w:kern w:val="0"/>
          <w:sz w:val="24"/>
          <w:u w:val="single"/>
        </w:rPr>
        <w:t xml:space="preserve">    %</w:t>
      </w:r>
      <w:r>
        <w:rPr>
          <w:rFonts w:hint="eastAsia"/>
          <w:kern w:val="0"/>
          <w:sz w:val="24"/>
        </w:rPr>
        <w:t>，质保期满且无质量问题支付尾款。</w:t>
      </w:r>
    </w:p>
    <w:p>
      <w:pPr>
        <w:pStyle w:val="6"/>
        <w:spacing w:line="440" w:lineRule="exact"/>
        <w:ind w:firstLine="482"/>
        <w:rPr>
          <w:b/>
          <w:bCs/>
          <w:kern w:val="0"/>
          <w:sz w:val="24"/>
        </w:rPr>
      </w:pPr>
      <w:r>
        <w:rPr>
          <w:rFonts w:hint="eastAsia"/>
          <w:b/>
          <w:bCs/>
          <w:kern w:val="0"/>
          <w:sz w:val="24"/>
        </w:rPr>
        <w:t>八、违约责任</w:t>
      </w:r>
    </w:p>
    <w:p>
      <w:pPr>
        <w:pStyle w:val="6"/>
        <w:spacing w:line="440" w:lineRule="exact"/>
        <w:ind w:firstLine="480"/>
        <w:rPr>
          <w:kern w:val="0"/>
          <w:sz w:val="24"/>
        </w:rPr>
      </w:pPr>
      <w:r>
        <w:rPr>
          <w:rFonts w:hint="eastAsia"/>
          <w:kern w:val="0"/>
          <w:sz w:val="24"/>
        </w:rPr>
        <w:t>1、若非甲方原因，乙方逾期完成交货的，每延期一天，乙方应向甲方支付</w:t>
      </w:r>
      <w:r>
        <w:rPr>
          <w:rFonts w:hint="eastAsia"/>
          <w:kern w:val="0"/>
          <w:sz w:val="24"/>
          <w:u w:val="single"/>
        </w:rPr>
        <w:t>1000</w:t>
      </w:r>
      <w:r>
        <w:rPr>
          <w:rFonts w:hint="eastAsia"/>
          <w:kern w:val="0"/>
          <w:sz w:val="24"/>
        </w:rPr>
        <w:t>元的违约金，以此类推，若乙方逾期交货超过</w:t>
      </w:r>
      <w:r>
        <w:rPr>
          <w:rFonts w:hint="eastAsia"/>
          <w:kern w:val="0"/>
          <w:sz w:val="24"/>
          <w:u w:val="single"/>
        </w:rPr>
        <w:t xml:space="preserve"> 10 </w:t>
      </w:r>
      <w:r>
        <w:rPr>
          <w:rFonts w:hint="eastAsia"/>
          <w:kern w:val="0"/>
          <w:sz w:val="24"/>
        </w:rPr>
        <w:t>日，乙方应返还甲方已支付货款，同时甲方有权解除合同，并要求乙方支付违约金</w:t>
      </w:r>
      <w:r>
        <w:rPr>
          <w:rFonts w:hint="eastAsia"/>
          <w:kern w:val="0"/>
          <w:sz w:val="24"/>
          <w:u w:val="single"/>
        </w:rPr>
        <w:t xml:space="preserve"> 1</w:t>
      </w:r>
      <w:r>
        <w:rPr>
          <w:rFonts w:hint="eastAsia"/>
          <w:kern w:val="0"/>
          <w:sz w:val="24"/>
        </w:rPr>
        <w:t>万元。</w:t>
      </w:r>
    </w:p>
    <w:p>
      <w:pPr>
        <w:pStyle w:val="6"/>
        <w:spacing w:line="440" w:lineRule="exact"/>
        <w:ind w:firstLine="480"/>
        <w:rPr>
          <w:kern w:val="0"/>
          <w:sz w:val="24"/>
        </w:rPr>
      </w:pPr>
      <w:r>
        <w:rPr>
          <w:rFonts w:hint="eastAsia"/>
          <w:kern w:val="0"/>
          <w:sz w:val="24"/>
        </w:rPr>
        <w:t>2、乙方交付的货物不符合本合同约定的（包括但不限于第一条货物要求和第二条质量要求）, 或未能通过甲方验收的，需由乙方退货或换货的货物，甲方有权要求乙方换货,退货，乙方应自甲方发出换货通知后</w:t>
      </w:r>
      <w:r>
        <w:rPr>
          <w:rFonts w:hint="eastAsia"/>
          <w:kern w:val="0"/>
          <w:sz w:val="24"/>
          <w:u w:val="single"/>
        </w:rPr>
        <w:t xml:space="preserve"> 10</w:t>
      </w:r>
      <w:r>
        <w:rPr>
          <w:rFonts w:hint="eastAsia"/>
          <w:kern w:val="0"/>
          <w:sz w:val="24"/>
        </w:rPr>
        <w:t>日内重新更换合格产品交付给甲方，否则乙方应向甲方支付违约金</w:t>
      </w:r>
      <w:r>
        <w:rPr>
          <w:rFonts w:hint="eastAsia"/>
          <w:kern w:val="0"/>
          <w:sz w:val="24"/>
          <w:u w:val="single"/>
        </w:rPr>
        <w:t xml:space="preserve"> 0.5 </w:t>
      </w:r>
      <w:r>
        <w:rPr>
          <w:rFonts w:hint="eastAsia"/>
          <w:kern w:val="0"/>
          <w:sz w:val="24"/>
        </w:rPr>
        <w:t>万元/次。</w:t>
      </w:r>
    </w:p>
    <w:p>
      <w:pPr>
        <w:pStyle w:val="6"/>
        <w:spacing w:line="440" w:lineRule="exact"/>
        <w:ind w:firstLine="480"/>
        <w:rPr>
          <w:kern w:val="0"/>
          <w:sz w:val="24"/>
        </w:rPr>
      </w:pPr>
      <w:r>
        <w:rPr>
          <w:rFonts w:hint="eastAsia"/>
          <w:kern w:val="0"/>
          <w:sz w:val="24"/>
        </w:rPr>
        <w:t>3、因乙方产品的原因造成甲方的产品存在任何质量问题或被要求承担产品质量责任的，乙方应负责处理由此发生的纠纷并承担所有费用。</w:t>
      </w:r>
    </w:p>
    <w:p>
      <w:pPr>
        <w:pStyle w:val="6"/>
        <w:spacing w:line="440" w:lineRule="exact"/>
        <w:ind w:firstLine="480"/>
        <w:rPr>
          <w:kern w:val="0"/>
          <w:sz w:val="24"/>
        </w:rPr>
      </w:pPr>
      <w:r>
        <w:rPr>
          <w:rFonts w:hint="eastAsia"/>
          <w:kern w:val="0"/>
          <w:sz w:val="24"/>
        </w:rPr>
        <w:t>4、如因乙方原因（包括但不限于：乙方产品质量不合格、违反合同约定、侵权等）致使甲方陷入纠纷，乙方应无条件地立即配合甲方解决纠纷及参与一切相关程序；乙方应承担因此给甲方造成的一切损失（包括但不限于赔款、罚款、诉讼费、仲裁费、执行费、保全费、公证费、滞纳金和因应诉抗辩、提起诉讼而支出的律师费、差旅费等全部相关费用），并在收到甲方的通知书和费用票据（复印件）之日起3日内一次性将上述款项支付给甲方。乙方同意不以“损失难以预见”等任何理由拒绝履行上述义务。</w:t>
      </w:r>
    </w:p>
    <w:p>
      <w:pPr>
        <w:pStyle w:val="6"/>
        <w:spacing w:line="440" w:lineRule="exact"/>
        <w:ind w:firstLine="482"/>
        <w:rPr>
          <w:b/>
          <w:bCs/>
          <w:kern w:val="0"/>
          <w:sz w:val="24"/>
        </w:rPr>
      </w:pPr>
      <w:r>
        <w:rPr>
          <w:rFonts w:hint="eastAsia"/>
          <w:b/>
          <w:bCs/>
          <w:kern w:val="0"/>
          <w:sz w:val="24"/>
        </w:rPr>
        <w:t>九、不可抗力</w:t>
      </w:r>
    </w:p>
    <w:p>
      <w:pPr>
        <w:pStyle w:val="6"/>
        <w:spacing w:line="440" w:lineRule="exact"/>
        <w:ind w:firstLine="480"/>
        <w:rPr>
          <w:kern w:val="0"/>
          <w:sz w:val="24"/>
        </w:rPr>
      </w:pPr>
      <w:r>
        <w:rPr>
          <w:rFonts w:hint="eastAsia"/>
          <w:kern w:val="0"/>
          <w:sz w:val="24"/>
        </w:rPr>
        <w:t>因不可抗力因素（即地震和火山喷发）影响，导致不能正常履行合同义务的，甲方同意延期履行、部分履行或不履行合同，并可以根据实际情况可部分或全部免除乙方责任。但乙方应在不可抗力情况出现起十日内，向甲方提供相关政府部门出具的有效证明文件，并证明不可抗力对合同履行的实际影响。</w:t>
      </w:r>
    </w:p>
    <w:p>
      <w:pPr>
        <w:pStyle w:val="6"/>
        <w:spacing w:line="440" w:lineRule="exact"/>
        <w:ind w:firstLine="482"/>
        <w:rPr>
          <w:b/>
          <w:bCs/>
          <w:kern w:val="0"/>
          <w:sz w:val="24"/>
        </w:rPr>
      </w:pPr>
      <w:r>
        <w:rPr>
          <w:rFonts w:hint="eastAsia"/>
          <w:b/>
          <w:bCs/>
          <w:kern w:val="0"/>
          <w:sz w:val="24"/>
        </w:rPr>
        <w:t>十、知识产权保护</w:t>
      </w:r>
    </w:p>
    <w:p>
      <w:pPr>
        <w:pStyle w:val="6"/>
        <w:spacing w:line="440" w:lineRule="exact"/>
        <w:ind w:firstLine="480"/>
        <w:rPr>
          <w:kern w:val="0"/>
          <w:sz w:val="24"/>
        </w:rPr>
      </w:pPr>
      <w:r>
        <w:rPr>
          <w:rFonts w:hint="eastAsia"/>
          <w:kern w:val="0"/>
          <w:sz w:val="24"/>
        </w:rPr>
        <w:t>乙方保证所供应给甲方的产品没有侵犯第三人合法权益包括但不限于知识产权、商业秘密，若甲方在使用该产品过程中发生任何有关纠纷，所产生的法律后果均由乙方承担，同时乙方应承担因该知识产权、商业秘密纠纷给甲方造成的一切损失（包括直接损失和间接损失）。因履行本合同所产生，无论是由各方分别独立完成的阶段性技术成果及其相关知识产权权利，或最终研究开发技术成果及其相关知识产权，均归甲方所有。符合申请专利条件的，由甲方享有申请专利的权利；按技术秘密方式处理的，有关使用和转让的权利归甲方享有。</w:t>
      </w:r>
    </w:p>
    <w:p>
      <w:pPr>
        <w:pStyle w:val="6"/>
        <w:spacing w:line="440" w:lineRule="exact"/>
        <w:ind w:firstLine="482"/>
        <w:rPr>
          <w:b/>
          <w:bCs/>
          <w:kern w:val="0"/>
          <w:sz w:val="24"/>
        </w:rPr>
      </w:pPr>
      <w:r>
        <w:rPr>
          <w:rFonts w:hint="eastAsia"/>
          <w:b/>
          <w:bCs/>
          <w:kern w:val="0"/>
          <w:sz w:val="24"/>
        </w:rPr>
        <w:t>十一、争议解决</w:t>
      </w:r>
    </w:p>
    <w:p>
      <w:pPr>
        <w:pStyle w:val="6"/>
        <w:spacing w:line="440" w:lineRule="exact"/>
        <w:ind w:firstLine="480"/>
        <w:rPr>
          <w:kern w:val="0"/>
          <w:sz w:val="24"/>
        </w:rPr>
      </w:pPr>
      <w:r>
        <w:rPr>
          <w:rFonts w:hint="eastAsia"/>
          <w:kern w:val="0"/>
          <w:sz w:val="24"/>
        </w:rPr>
        <w:t>本合同在履行过程中所发生的一切纠纷和争议，由双方协商解决。若协商不成，双方同意选择向甲方住所地人民法院提请诉讼。</w:t>
      </w:r>
    </w:p>
    <w:p>
      <w:pPr>
        <w:pStyle w:val="6"/>
        <w:spacing w:line="440" w:lineRule="exact"/>
        <w:ind w:firstLine="482"/>
        <w:rPr>
          <w:b/>
          <w:bCs/>
          <w:kern w:val="0"/>
          <w:sz w:val="24"/>
        </w:rPr>
      </w:pPr>
      <w:r>
        <w:rPr>
          <w:rFonts w:hint="eastAsia"/>
          <w:b/>
          <w:bCs/>
          <w:kern w:val="0"/>
          <w:sz w:val="24"/>
        </w:rPr>
        <w:t>十二、合同生效</w:t>
      </w:r>
    </w:p>
    <w:p>
      <w:pPr>
        <w:pStyle w:val="6"/>
        <w:spacing w:line="440" w:lineRule="exact"/>
        <w:ind w:firstLine="480"/>
        <w:rPr>
          <w:kern w:val="0"/>
          <w:sz w:val="24"/>
        </w:rPr>
      </w:pPr>
      <w:r>
        <w:rPr>
          <w:rFonts w:hint="eastAsia"/>
          <w:kern w:val="0"/>
          <w:sz w:val="24"/>
        </w:rPr>
        <w:t xml:space="preserve">1、本合同自双方盖章并经甲方代表签字之日起生效，本合同有效期限自双方盖章之日起至止。 </w:t>
      </w:r>
    </w:p>
    <w:p>
      <w:pPr>
        <w:pStyle w:val="6"/>
        <w:spacing w:line="440" w:lineRule="exact"/>
        <w:ind w:firstLine="480"/>
        <w:rPr>
          <w:kern w:val="0"/>
          <w:sz w:val="24"/>
        </w:rPr>
      </w:pPr>
      <w:r>
        <w:rPr>
          <w:rFonts w:hint="eastAsia"/>
          <w:kern w:val="0"/>
          <w:sz w:val="24"/>
        </w:rPr>
        <w:t>2、合同一式</w:t>
      </w:r>
      <w:r>
        <w:rPr>
          <w:rFonts w:hint="eastAsia"/>
          <w:kern w:val="0"/>
          <w:sz w:val="24"/>
          <w:u w:val="single"/>
        </w:rPr>
        <w:t xml:space="preserve">  叁 </w:t>
      </w:r>
      <w:r>
        <w:rPr>
          <w:rFonts w:hint="eastAsia"/>
          <w:kern w:val="0"/>
          <w:sz w:val="24"/>
        </w:rPr>
        <w:t>份，甲方</w:t>
      </w:r>
      <w:r>
        <w:rPr>
          <w:rFonts w:hint="eastAsia"/>
          <w:kern w:val="0"/>
          <w:sz w:val="24"/>
          <w:u w:val="single"/>
        </w:rPr>
        <w:t xml:space="preserve">  贰  </w:t>
      </w:r>
      <w:r>
        <w:rPr>
          <w:rFonts w:hint="eastAsia"/>
          <w:kern w:val="0"/>
          <w:sz w:val="24"/>
        </w:rPr>
        <w:t>份，乙方</w:t>
      </w:r>
      <w:r>
        <w:rPr>
          <w:rFonts w:hint="eastAsia"/>
          <w:kern w:val="0"/>
          <w:sz w:val="24"/>
          <w:u w:val="single"/>
        </w:rPr>
        <w:t xml:space="preserve">  壹  </w:t>
      </w:r>
      <w:r>
        <w:rPr>
          <w:rFonts w:hint="eastAsia"/>
          <w:kern w:val="0"/>
          <w:sz w:val="24"/>
        </w:rPr>
        <w:t>份。</w:t>
      </w:r>
    </w:p>
    <w:p>
      <w:pPr>
        <w:pStyle w:val="6"/>
        <w:spacing w:line="440" w:lineRule="exact"/>
        <w:ind w:firstLine="482"/>
        <w:rPr>
          <w:b/>
          <w:bCs/>
          <w:kern w:val="0"/>
          <w:sz w:val="24"/>
        </w:rPr>
      </w:pPr>
      <w:r>
        <w:rPr>
          <w:rFonts w:hint="eastAsia"/>
          <w:b/>
          <w:bCs/>
          <w:kern w:val="0"/>
          <w:sz w:val="24"/>
        </w:rPr>
        <w:t>十三、其它约定</w:t>
      </w:r>
    </w:p>
    <w:p>
      <w:pPr>
        <w:pStyle w:val="6"/>
        <w:spacing w:line="440" w:lineRule="exact"/>
        <w:ind w:firstLine="480"/>
        <w:rPr>
          <w:kern w:val="0"/>
          <w:sz w:val="24"/>
        </w:rPr>
      </w:pPr>
      <w:r>
        <w:rPr>
          <w:rFonts w:hint="eastAsia"/>
          <w:kern w:val="0"/>
          <w:sz w:val="24"/>
        </w:rPr>
        <w:t>1、未经甲方书面同意，乙方不得把对甲方享有的债权转让给第三方，乙方违反约定的，应支付相当于违约转让债权金额</w:t>
      </w:r>
      <w:r>
        <w:rPr>
          <w:rFonts w:hint="eastAsia"/>
          <w:kern w:val="0"/>
          <w:sz w:val="24"/>
          <w:u w:val="single"/>
        </w:rPr>
        <w:t>20</w:t>
      </w:r>
      <w:r>
        <w:rPr>
          <w:rFonts w:hint="eastAsia"/>
          <w:kern w:val="0"/>
          <w:sz w:val="24"/>
        </w:rPr>
        <w:t>%违约金给甲方。无论本合同是否变更、解除、终止或被确认为无效，该条款仍然有效。</w:t>
      </w:r>
    </w:p>
    <w:p>
      <w:pPr>
        <w:pStyle w:val="6"/>
        <w:spacing w:line="440" w:lineRule="exact"/>
        <w:ind w:firstLine="480"/>
        <w:rPr>
          <w:kern w:val="0"/>
          <w:sz w:val="24"/>
        </w:rPr>
      </w:pPr>
      <w:r>
        <w:rPr>
          <w:rFonts w:hint="eastAsia"/>
          <w:kern w:val="0"/>
          <w:sz w:val="24"/>
        </w:rPr>
        <w:t>2、（1）乙方同意在本条中如实提供联系地址、联系电话、联系人等信息，具体如下：联系地址、联系电话、联系人、邮箱、QQ号、传真号、微信号；若前述联系地址、联系人未填写，法人以工商登记的法定代表人、住所地为准，公民以身份证载明的姓名及住址为准。（2）甲方关于本合同履行及相关事宜向乙方发出的通知、函件等文件，送达一般以乙方盖章确认或其联系人签名为准，如果甲方按照本条载明的联系地址、联系人以快递形式寄送文件的，不论寄送过程中发生何种障碍，乙方均同意自文件发出之日起第四日视为收到送达的文件。（3）如双方发生纠纷采取法律程序解决的（包括：仲裁、民事诉讼程序的一审、二审、再审和执行程序等），法院或仲裁机构进行送达时，可按本条载明的联系地址、联系人寄送法律文书，不论寄送过程中发生何种障碍，乙方均同意自法律文书发出之日起第四日视为收到送达的法律文书。（4） 乙方的联系方式发生变更的，应当及时书面通知甲方，否则应自行承担因此产生的一切不利后果。（5）本条款自合同订立时生效，其效力具有独立性，无论合同订立后是否实际履行、终止或认定无效，双方均同意按本条款约定确定送达事宜的效力。</w:t>
      </w:r>
    </w:p>
    <w:p>
      <w:pPr>
        <w:pStyle w:val="6"/>
        <w:spacing w:line="440" w:lineRule="exact"/>
        <w:ind w:firstLine="480"/>
        <w:rPr>
          <w:kern w:val="0"/>
          <w:sz w:val="24"/>
        </w:rPr>
      </w:pPr>
    </w:p>
    <w:p>
      <w:pPr>
        <w:pStyle w:val="6"/>
        <w:spacing w:line="440" w:lineRule="exact"/>
        <w:ind w:firstLine="480"/>
        <w:rPr>
          <w:kern w:val="0"/>
          <w:sz w:val="24"/>
        </w:rPr>
      </w:pPr>
      <w:r>
        <w:rPr>
          <w:rFonts w:hint="eastAsia"/>
          <w:kern w:val="0"/>
          <w:sz w:val="24"/>
        </w:rPr>
        <w:t>（以下无正文）</w:t>
      </w:r>
    </w:p>
    <w:tbl>
      <w:tblPr>
        <w:tblStyle w:val="15"/>
        <w:tblW w:w="8528"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4428"/>
        <w:gridCol w:w="410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428" w:type="dxa"/>
            <w:noWrap w:val="0"/>
            <w:vAlign w:val="top"/>
          </w:tcPr>
          <w:p>
            <w:pPr>
              <w:pStyle w:val="6"/>
              <w:spacing w:line="440" w:lineRule="exact"/>
              <w:ind w:firstLine="480"/>
              <w:rPr>
                <w:rFonts w:cs="仿宋"/>
                <w:kern w:val="0"/>
                <w:sz w:val="24"/>
              </w:rPr>
            </w:pPr>
            <w:r>
              <w:rPr>
                <w:rFonts w:hint="eastAsia" w:cs="仿宋"/>
                <w:kern w:val="0"/>
                <w:sz w:val="24"/>
              </w:rPr>
              <w:t>甲方</w:t>
            </w:r>
          </w:p>
          <w:p>
            <w:pPr>
              <w:pStyle w:val="6"/>
              <w:spacing w:line="440" w:lineRule="exact"/>
              <w:ind w:firstLine="480"/>
              <w:rPr>
                <w:rFonts w:cs="仿宋"/>
                <w:kern w:val="0"/>
                <w:sz w:val="24"/>
              </w:rPr>
            </w:pPr>
            <w:r>
              <w:rPr>
                <w:rFonts w:hint="eastAsia" w:cs="仿宋"/>
                <w:kern w:val="0"/>
                <w:sz w:val="24"/>
              </w:rPr>
              <w:t>单位名称：</w:t>
            </w:r>
          </w:p>
          <w:p>
            <w:pPr>
              <w:pStyle w:val="6"/>
              <w:spacing w:line="440" w:lineRule="exact"/>
              <w:ind w:firstLine="480"/>
              <w:rPr>
                <w:rFonts w:cs="仿宋"/>
                <w:kern w:val="0"/>
                <w:sz w:val="24"/>
              </w:rPr>
            </w:pPr>
            <w:r>
              <w:rPr>
                <w:rFonts w:hint="eastAsia" w:cs="仿宋"/>
                <w:kern w:val="0"/>
                <w:sz w:val="24"/>
              </w:rPr>
              <w:t xml:space="preserve">地址： </w:t>
            </w:r>
          </w:p>
          <w:p>
            <w:pPr>
              <w:pStyle w:val="6"/>
              <w:spacing w:line="440" w:lineRule="exact"/>
              <w:ind w:firstLine="480"/>
              <w:rPr>
                <w:rFonts w:cs="仿宋"/>
                <w:kern w:val="0"/>
                <w:sz w:val="24"/>
              </w:rPr>
            </w:pPr>
            <w:r>
              <w:rPr>
                <w:rFonts w:hint="eastAsia" w:cs="仿宋"/>
                <w:kern w:val="0"/>
                <w:sz w:val="24"/>
              </w:rPr>
              <w:t>法人代表：</w:t>
            </w:r>
          </w:p>
          <w:p>
            <w:pPr>
              <w:pStyle w:val="6"/>
              <w:spacing w:line="440" w:lineRule="exact"/>
              <w:ind w:firstLine="480"/>
              <w:rPr>
                <w:rFonts w:cs="仿宋"/>
                <w:kern w:val="0"/>
                <w:sz w:val="24"/>
              </w:rPr>
            </w:pPr>
            <w:r>
              <w:rPr>
                <w:rFonts w:hint="eastAsia" w:cs="仿宋"/>
                <w:kern w:val="0"/>
                <w:sz w:val="24"/>
              </w:rPr>
              <w:t>委托代理人：</w:t>
            </w:r>
          </w:p>
          <w:p>
            <w:pPr>
              <w:pStyle w:val="6"/>
              <w:spacing w:line="440" w:lineRule="exact"/>
              <w:ind w:firstLine="480"/>
              <w:rPr>
                <w:rFonts w:cs="仿宋"/>
                <w:kern w:val="0"/>
                <w:sz w:val="24"/>
              </w:rPr>
            </w:pPr>
            <w:r>
              <w:rPr>
                <w:rFonts w:hint="eastAsia" w:cs="仿宋"/>
                <w:kern w:val="0"/>
                <w:sz w:val="24"/>
              </w:rPr>
              <w:t xml:space="preserve">电话： </w:t>
            </w:r>
          </w:p>
          <w:p>
            <w:pPr>
              <w:pStyle w:val="6"/>
              <w:spacing w:line="440" w:lineRule="exact"/>
              <w:ind w:firstLine="480"/>
              <w:rPr>
                <w:rFonts w:cs="仿宋"/>
                <w:kern w:val="0"/>
                <w:sz w:val="24"/>
              </w:rPr>
            </w:pPr>
            <w:r>
              <w:rPr>
                <w:rFonts w:hint="eastAsia" w:cs="仿宋"/>
                <w:kern w:val="0"/>
                <w:sz w:val="24"/>
              </w:rPr>
              <w:t xml:space="preserve">传真： </w:t>
            </w:r>
          </w:p>
          <w:p>
            <w:pPr>
              <w:pStyle w:val="6"/>
              <w:spacing w:line="440" w:lineRule="exact"/>
              <w:ind w:firstLine="480"/>
              <w:rPr>
                <w:rFonts w:cs="仿宋"/>
                <w:kern w:val="0"/>
                <w:sz w:val="24"/>
              </w:rPr>
            </w:pPr>
            <w:r>
              <w:rPr>
                <w:rFonts w:hint="eastAsia" w:cs="仿宋"/>
                <w:kern w:val="0"/>
                <w:sz w:val="24"/>
              </w:rPr>
              <w:t>开户行：</w:t>
            </w:r>
          </w:p>
          <w:p>
            <w:pPr>
              <w:pStyle w:val="6"/>
              <w:spacing w:line="440" w:lineRule="exact"/>
              <w:ind w:firstLine="480"/>
              <w:rPr>
                <w:rFonts w:cs="仿宋"/>
                <w:kern w:val="0"/>
                <w:sz w:val="24"/>
              </w:rPr>
            </w:pPr>
            <w:r>
              <w:rPr>
                <w:rFonts w:hint="eastAsia" w:cs="仿宋"/>
                <w:kern w:val="0"/>
                <w:sz w:val="24"/>
              </w:rPr>
              <w:t>帐号：</w:t>
            </w:r>
          </w:p>
          <w:p>
            <w:pPr>
              <w:pStyle w:val="6"/>
              <w:spacing w:line="440" w:lineRule="exact"/>
              <w:ind w:firstLine="480"/>
              <w:rPr>
                <w:rFonts w:cs="仿宋"/>
                <w:kern w:val="0"/>
                <w:sz w:val="24"/>
              </w:rPr>
            </w:pPr>
            <w:r>
              <w:rPr>
                <w:rFonts w:hint="eastAsia" w:cs="仿宋"/>
                <w:kern w:val="0"/>
                <w:sz w:val="24"/>
              </w:rPr>
              <w:t>税号：</w:t>
            </w:r>
          </w:p>
          <w:p>
            <w:pPr>
              <w:pStyle w:val="6"/>
              <w:spacing w:line="440" w:lineRule="exact"/>
              <w:ind w:firstLine="480"/>
              <w:rPr>
                <w:rFonts w:cs="仿宋"/>
                <w:kern w:val="0"/>
                <w:sz w:val="24"/>
              </w:rPr>
            </w:pPr>
            <w:r>
              <w:rPr>
                <w:rFonts w:hint="eastAsia" w:cs="仿宋"/>
                <w:kern w:val="0"/>
                <w:sz w:val="24"/>
              </w:rPr>
              <w:t>邮箱：</w:t>
            </w:r>
          </w:p>
        </w:tc>
        <w:tc>
          <w:tcPr>
            <w:tcW w:w="4100" w:type="dxa"/>
            <w:noWrap w:val="0"/>
            <w:vAlign w:val="top"/>
          </w:tcPr>
          <w:p>
            <w:pPr>
              <w:pStyle w:val="6"/>
              <w:spacing w:line="440" w:lineRule="exact"/>
              <w:ind w:firstLine="480"/>
              <w:rPr>
                <w:rFonts w:cs="仿宋"/>
                <w:kern w:val="0"/>
                <w:sz w:val="24"/>
              </w:rPr>
            </w:pPr>
            <w:r>
              <w:rPr>
                <w:rFonts w:hint="eastAsia" w:cs="仿宋"/>
                <w:kern w:val="0"/>
                <w:sz w:val="24"/>
              </w:rPr>
              <w:t>乙方</w:t>
            </w:r>
          </w:p>
          <w:p>
            <w:pPr>
              <w:pStyle w:val="6"/>
              <w:spacing w:line="440" w:lineRule="exact"/>
              <w:ind w:firstLine="480"/>
              <w:rPr>
                <w:rFonts w:cs="仿宋"/>
                <w:kern w:val="0"/>
                <w:sz w:val="24"/>
              </w:rPr>
            </w:pPr>
            <w:r>
              <w:rPr>
                <w:rFonts w:hint="eastAsia" w:cs="仿宋"/>
                <w:kern w:val="0"/>
                <w:sz w:val="24"/>
              </w:rPr>
              <w:t>单位名称：</w:t>
            </w:r>
          </w:p>
          <w:p>
            <w:pPr>
              <w:pStyle w:val="6"/>
              <w:spacing w:line="440" w:lineRule="exact"/>
              <w:ind w:firstLine="480"/>
              <w:rPr>
                <w:rFonts w:cs="仿宋"/>
                <w:kern w:val="0"/>
                <w:sz w:val="24"/>
              </w:rPr>
            </w:pPr>
            <w:r>
              <w:rPr>
                <w:rFonts w:hint="eastAsia" w:cs="仿宋"/>
                <w:kern w:val="0"/>
                <w:sz w:val="24"/>
              </w:rPr>
              <w:t xml:space="preserve">地址： </w:t>
            </w:r>
          </w:p>
          <w:p>
            <w:pPr>
              <w:pStyle w:val="6"/>
              <w:spacing w:line="440" w:lineRule="exact"/>
              <w:ind w:firstLine="480"/>
              <w:rPr>
                <w:rFonts w:cs="仿宋"/>
                <w:kern w:val="0"/>
                <w:sz w:val="24"/>
              </w:rPr>
            </w:pPr>
            <w:r>
              <w:rPr>
                <w:rFonts w:hint="eastAsia" w:cs="仿宋"/>
                <w:kern w:val="0"/>
                <w:sz w:val="24"/>
              </w:rPr>
              <w:t>法人代表：</w:t>
            </w:r>
          </w:p>
          <w:p>
            <w:pPr>
              <w:pStyle w:val="6"/>
              <w:spacing w:line="440" w:lineRule="exact"/>
              <w:ind w:firstLine="480"/>
              <w:rPr>
                <w:rFonts w:cs="仿宋"/>
                <w:kern w:val="0"/>
                <w:sz w:val="24"/>
              </w:rPr>
            </w:pPr>
            <w:r>
              <w:rPr>
                <w:rFonts w:hint="eastAsia" w:cs="仿宋"/>
                <w:kern w:val="0"/>
                <w:sz w:val="24"/>
              </w:rPr>
              <w:t>委托代理人：</w:t>
            </w:r>
          </w:p>
          <w:p>
            <w:pPr>
              <w:pStyle w:val="6"/>
              <w:spacing w:line="440" w:lineRule="exact"/>
              <w:ind w:firstLine="480"/>
              <w:rPr>
                <w:rFonts w:cs="仿宋"/>
                <w:kern w:val="0"/>
                <w:sz w:val="24"/>
              </w:rPr>
            </w:pPr>
            <w:r>
              <w:rPr>
                <w:rFonts w:hint="eastAsia" w:cs="仿宋"/>
                <w:kern w:val="0"/>
                <w:sz w:val="24"/>
              </w:rPr>
              <w:t>电话：</w:t>
            </w:r>
          </w:p>
          <w:p>
            <w:pPr>
              <w:pStyle w:val="6"/>
              <w:spacing w:line="440" w:lineRule="exact"/>
              <w:ind w:firstLine="480"/>
              <w:rPr>
                <w:rFonts w:cs="仿宋"/>
                <w:kern w:val="0"/>
                <w:sz w:val="24"/>
              </w:rPr>
            </w:pPr>
            <w:r>
              <w:rPr>
                <w:rFonts w:hint="eastAsia" w:cs="仿宋"/>
                <w:kern w:val="0"/>
                <w:sz w:val="24"/>
              </w:rPr>
              <w:t>传真：</w:t>
            </w:r>
          </w:p>
          <w:p>
            <w:pPr>
              <w:pStyle w:val="6"/>
              <w:spacing w:line="440" w:lineRule="exact"/>
              <w:ind w:firstLine="480"/>
              <w:rPr>
                <w:rFonts w:cs="仿宋"/>
                <w:kern w:val="0"/>
                <w:sz w:val="24"/>
              </w:rPr>
            </w:pPr>
            <w:r>
              <w:rPr>
                <w:rFonts w:hint="eastAsia" w:cs="仿宋"/>
                <w:kern w:val="0"/>
                <w:sz w:val="24"/>
              </w:rPr>
              <w:t xml:space="preserve">开户行： </w:t>
            </w:r>
          </w:p>
          <w:p>
            <w:pPr>
              <w:pStyle w:val="6"/>
              <w:spacing w:line="440" w:lineRule="exact"/>
              <w:ind w:firstLine="480"/>
              <w:rPr>
                <w:rFonts w:cs="仿宋"/>
                <w:kern w:val="0"/>
                <w:sz w:val="24"/>
              </w:rPr>
            </w:pPr>
            <w:r>
              <w:rPr>
                <w:rFonts w:hint="eastAsia" w:cs="仿宋"/>
                <w:kern w:val="0"/>
                <w:sz w:val="24"/>
              </w:rPr>
              <w:t>帐号：</w:t>
            </w:r>
          </w:p>
          <w:p>
            <w:pPr>
              <w:pStyle w:val="6"/>
              <w:spacing w:line="440" w:lineRule="exact"/>
              <w:ind w:firstLine="480"/>
              <w:rPr>
                <w:rFonts w:cs="仿宋"/>
                <w:kern w:val="0"/>
                <w:sz w:val="24"/>
              </w:rPr>
            </w:pPr>
            <w:r>
              <w:rPr>
                <w:rFonts w:hint="eastAsia" w:cs="仿宋"/>
                <w:kern w:val="0"/>
                <w:sz w:val="24"/>
              </w:rPr>
              <w:t>税号：</w:t>
            </w:r>
          </w:p>
          <w:p>
            <w:pPr>
              <w:pStyle w:val="6"/>
              <w:spacing w:line="440" w:lineRule="exact"/>
              <w:ind w:firstLine="480"/>
              <w:rPr>
                <w:rFonts w:cs="仿宋"/>
                <w:kern w:val="0"/>
                <w:sz w:val="24"/>
              </w:rPr>
            </w:pPr>
            <w:r>
              <w:rPr>
                <w:rFonts w:hint="eastAsia" w:cs="仿宋"/>
                <w:kern w:val="0"/>
                <w:sz w:val="24"/>
              </w:rPr>
              <w:t xml:space="preserve">邮箱： </w:t>
            </w:r>
          </w:p>
        </w:tc>
      </w:tr>
    </w:tbl>
    <w:p>
      <w:pPr>
        <w:jc w:val="center"/>
        <w:rPr>
          <w:b/>
        </w:rPr>
      </w:pPr>
    </w:p>
    <w:p>
      <w:pPr>
        <w:jc w:val="center"/>
        <w:rPr>
          <w:rFonts w:hint="eastAsia"/>
          <w:b/>
        </w:rPr>
      </w:pPr>
    </w:p>
    <w:p>
      <w:pPr>
        <w:jc w:val="center"/>
        <w:rPr>
          <w:b/>
        </w:rPr>
      </w:pPr>
      <w:r>
        <w:rPr>
          <w:b/>
        </w:rPr>
        <w:t>合同条款</w:t>
      </w:r>
    </w:p>
    <w:p>
      <w:pPr>
        <w:ind w:firstLine="482"/>
        <w:rPr>
          <w:b/>
        </w:rPr>
      </w:pPr>
      <w:r>
        <w:rPr>
          <w:b/>
        </w:rPr>
        <w:t>1. 定义</w:t>
      </w:r>
    </w:p>
    <w:p>
      <w:pPr>
        <w:ind w:firstLine="480"/>
      </w:pPr>
      <w:r>
        <w:t>在合同（如下文所定义的）中，下文定义的措词和用语，除上下文另有要求外，应具有本款赋予的含义。</w:t>
      </w:r>
    </w:p>
    <w:p>
      <w:pPr>
        <w:ind w:firstLine="480"/>
      </w:pPr>
      <w:r>
        <w:t>1.1“合同”系指由买方和卖方双方签署的、合同格式中载明的买方和卖方双方所达成的协议，包括所有的附件、附录和上述文件所提到的构成合同的所有文件。</w:t>
      </w:r>
    </w:p>
    <w:p>
      <w:pPr>
        <w:ind w:firstLine="480"/>
      </w:pPr>
      <w:r>
        <w:t>1.2“合同价格”系指根据合同规定，卖方在正确地完全履行合同义务后，买方应支付给卖方的价格。</w:t>
      </w:r>
    </w:p>
    <w:p>
      <w:pPr>
        <w:ind w:firstLine="480"/>
      </w:pPr>
      <w:r>
        <w:t>1.3“货物”系指卖方根据合同规定应向买方提供的所有货物。</w:t>
      </w:r>
    </w:p>
    <w:p>
      <w:pPr>
        <w:ind w:firstLine="480"/>
      </w:pPr>
      <w:r>
        <w:t>1.4“服务”系指根据合同规定卖方承担与供货有关的服务，例如运输、保险以及合同中规定卖方应承担的所有义务。</w:t>
      </w:r>
    </w:p>
    <w:p>
      <w:pPr>
        <w:ind w:firstLine="480"/>
      </w:pPr>
      <w:r>
        <w:t>1.5“买方”系指购买合同规定货物的单位。</w:t>
      </w:r>
    </w:p>
    <w:p>
      <w:pPr>
        <w:ind w:firstLine="480"/>
      </w:pPr>
      <w:r>
        <w:t>1.6“卖方”系指提供合同货物的单位。</w:t>
      </w:r>
    </w:p>
    <w:p>
      <w:pPr>
        <w:ind w:firstLine="480"/>
      </w:pPr>
      <w:r>
        <w:t>1.7“天”系日历天数。</w:t>
      </w:r>
    </w:p>
    <w:p>
      <w:pPr>
        <w:ind w:firstLine="482"/>
        <w:rPr>
          <w:b/>
        </w:rPr>
      </w:pPr>
      <w:r>
        <w:rPr>
          <w:b/>
        </w:rPr>
        <w:t>2. 知识产权</w:t>
      </w:r>
    </w:p>
    <w:p>
      <w:pPr>
        <w:ind w:firstLine="480"/>
      </w:pPr>
      <w:r>
        <w:t>2.1 卖方应保证买方在使用本合同项下货物或货物的任何一部分时免受第三方提出侵犯其专利权、商标权、著作权或其它知识产权的一切索赔和诉讼。若因知识产权发生的争议、纠纷，由卖方承担一切责任和费用，买方不承担任何和费用。</w:t>
      </w:r>
    </w:p>
    <w:p>
      <w:pPr>
        <w:ind w:firstLine="480"/>
      </w:pPr>
      <w:r>
        <w:t>2.2 本条规定不因本合同的中止和到期而失效。</w:t>
      </w:r>
    </w:p>
    <w:p>
      <w:pPr>
        <w:ind w:firstLine="482"/>
        <w:rPr>
          <w:b/>
        </w:rPr>
      </w:pPr>
      <w:r>
        <w:rPr>
          <w:b/>
        </w:rPr>
        <w:t>3. 技术规格</w:t>
      </w:r>
    </w:p>
    <w:p>
      <w:pPr>
        <w:ind w:firstLine="480"/>
      </w:pPr>
      <w:r>
        <w:t>3.1 交付货物的技术规格应与投标文件规定的技术规格以及所附的技术规格响应表相一致。</w:t>
      </w:r>
    </w:p>
    <w:p>
      <w:pPr>
        <w:ind w:firstLine="480"/>
      </w:pPr>
      <w:r>
        <w:t>3.2 除技术规格另有规定外，计量单位应该使用公制。</w:t>
      </w:r>
    </w:p>
    <w:p>
      <w:pPr>
        <w:ind w:firstLine="482"/>
        <w:rPr>
          <w:b/>
        </w:rPr>
      </w:pPr>
      <w:r>
        <w:rPr>
          <w:b/>
        </w:rPr>
        <w:t>4. 包装要求</w:t>
      </w:r>
    </w:p>
    <w:p>
      <w:pPr>
        <w:ind w:firstLine="480"/>
      </w:pPr>
      <w:r>
        <w:t>4.1 除合同另有规定外,卖方提供的所有单独包装的货物均应具有原始的、完好的标准包装。如遇交付前已拆封的货物，买方有权拒绝接受或要求更换。</w:t>
      </w:r>
    </w:p>
    <w:p>
      <w:pPr>
        <w:ind w:firstLine="480"/>
      </w:pPr>
      <w:r>
        <w:t>4.2 每个包装箱内的装箱清单、使用说明书、质量证书、保修卡及使用软件等所有资料均应齐全。</w:t>
      </w:r>
    </w:p>
    <w:p>
      <w:pPr>
        <w:ind w:firstLine="482"/>
        <w:rPr>
          <w:b/>
        </w:rPr>
      </w:pPr>
      <w:r>
        <w:rPr>
          <w:b/>
        </w:rPr>
        <w:t>5. 付款</w:t>
      </w:r>
    </w:p>
    <w:p>
      <w:pPr>
        <w:ind w:firstLine="480"/>
      </w:pPr>
      <w:r>
        <w:t>5.1 本合同以人民币支付。</w:t>
      </w:r>
    </w:p>
    <w:p>
      <w:pPr>
        <w:ind w:firstLine="480"/>
      </w:pPr>
      <w:r>
        <w:t xml:space="preserve">5.2 付款方式： </w:t>
      </w:r>
    </w:p>
    <w:p>
      <w:pPr>
        <w:ind w:firstLine="482"/>
        <w:rPr>
          <w:b/>
        </w:rPr>
      </w:pPr>
      <w:r>
        <w:rPr>
          <w:b/>
        </w:rPr>
        <w:t>6. 服务</w:t>
      </w:r>
    </w:p>
    <w:p>
      <w:pPr>
        <w:ind w:firstLine="480"/>
      </w:pPr>
      <w:r>
        <w:t>6.1 卖方应提供下列服务中的所有服务：</w:t>
      </w:r>
    </w:p>
    <w:p>
      <w:pPr>
        <w:ind w:firstLine="480"/>
      </w:pPr>
      <w:r>
        <w:t>（1）货物的运输、保险；</w:t>
      </w:r>
    </w:p>
    <w:p>
      <w:pPr>
        <w:ind w:firstLine="480"/>
      </w:pPr>
      <w:r>
        <w:t>（2）货物的缺陷修补；</w:t>
      </w:r>
    </w:p>
    <w:p>
      <w:pPr>
        <w:ind w:firstLine="480"/>
      </w:pPr>
      <w:r>
        <w:t>（3）提交所供货物的技术文件：产品目录、图纸、操作手册、使用说明、维护手册或服务指南；</w:t>
      </w:r>
    </w:p>
    <w:p>
      <w:pPr>
        <w:ind w:firstLine="480"/>
      </w:pPr>
      <w:r>
        <w:t>（4）卖方在售后服务计划中承诺提供的售后服务项目和实施措施；</w:t>
      </w:r>
    </w:p>
    <w:p>
      <w:pPr>
        <w:ind w:firstLine="480"/>
      </w:pPr>
      <w:r>
        <w:t>（5）其他附加服务。</w:t>
      </w:r>
    </w:p>
    <w:p>
      <w:pPr>
        <w:ind w:firstLine="480"/>
      </w:pPr>
      <w:r>
        <w:t>6.2 卖方提供的服务费用应含在货物的合同总价中，买方不再另行支付。</w:t>
      </w:r>
    </w:p>
    <w:p>
      <w:pPr>
        <w:ind w:firstLine="482"/>
        <w:rPr>
          <w:b/>
        </w:rPr>
      </w:pPr>
      <w:r>
        <w:rPr>
          <w:b/>
        </w:rPr>
        <w:t>7. 质量保证及质保期</w:t>
      </w:r>
    </w:p>
    <w:p>
      <w:pPr>
        <w:ind w:firstLine="480"/>
      </w:pPr>
      <w:r>
        <w:t>7.1 卖方应保证所提供的货物得全新的、未使用过的，是最新产品，并完全符合合同规定的质量、规格和性能要求。</w:t>
      </w:r>
    </w:p>
    <w:p>
      <w:pPr>
        <w:ind w:firstLine="480"/>
      </w:pPr>
      <w:r>
        <w:t>7.2 在质保期内，如果货物的数量、质量或规格与合同不符，或证实货物有缺陷的，买方应尽快以书面形式向卖方提出本保证下的索赔。</w:t>
      </w:r>
    </w:p>
    <w:p>
      <w:pPr>
        <w:ind w:firstLine="480"/>
      </w:pPr>
      <w:r>
        <w:t>7.3 承诺的质保期内卖方所提供的产品正常使用情况下出现的质量问题都由卖方自行负责维护或更换。</w:t>
      </w:r>
    </w:p>
    <w:p>
      <w:pPr>
        <w:ind w:firstLine="482"/>
        <w:rPr>
          <w:b/>
        </w:rPr>
      </w:pPr>
      <w:r>
        <w:rPr>
          <w:b/>
        </w:rPr>
        <w:t>8. 检验与验收</w:t>
      </w:r>
    </w:p>
    <w:p>
      <w:pPr>
        <w:ind w:firstLine="480"/>
      </w:pPr>
      <w:r>
        <w:t>8.1 在交货前，卖方应对货物的质量、规格、性能、数量等进行详细全面的检验，并出具一份证明货物符合合同规定要求的检验证书，检验报告是付款必要的文件组成部分，但不作为对有关质量、规格、数量的最终检验。</w:t>
      </w:r>
    </w:p>
    <w:p>
      <w:pPr>
        <w:ind w:firstLine="480"/>
      </w:pPr>
      <w:r>
        <w:t>8.2 货物交付安装完毕后，由买方</w:t>
      </w:r>
      <w:r>
        <w:rPr>
          <w:rFonts w:hint="eastAsia"/>
        </w:rPr>
        <w:t>、监理</w:t>
      </w:r>
      <w:r>
        <w:t>和卖方共同按照买方确认的质量、规格、数量对货物进行验收。经最终验收合格后，买方签发出具验收报告。</w:t>
      </w:r>
    </w:p>
    <w:p>
      <w:pPr>
        <w:ind w:firstLine="482"/>
        <w:rPr>
          <w:b/>
        </w:rPr>
      </w:pPr>
      <w:r>
        <w:rPr>
          <w:b/>
        </w:rPr>
        <w:t>9. 索赔</w:t>
      </w:r>
    </w:p>
    <w:p>
      <w:pPr>
        <w:ind w:firstLine="480"/>
      </w:pPr>
      <w:r>
        <w:t>9.1 买方有权根据有关部门出具的检验证书向卖方提出索赔。</w:t>
      </w:r>
    </w:p>
    <w:p>
      <w:pPr>
        <w:ind w:firstLine="480"/>
      </w:pPr>
      <w:r>
        <w:t>9.2 在合同第 7 条规定的质保期内，如果卖方对差异负有责任而买方提出索赔，卖方应按照买方的损失程度进行赔偿。</w:t>
      </w:r>
    </w:p>
    <w:p>
      <w:pPr>
        <w:ind w:firstLine="482"/>
        <w:rPr>
          <w:b/>
        </w:rPr>
      </w:pPr>
      <w:r>
        <w:rPr>
          <w:b/>
        </w:rPr>
        <w:t>10. 不可抗力</w:t>
      </w:r>
    </w:p>
    <w:p>
      <w:pPr>
        <w:ind w:firstLine="480"/>
      </w:pPr>
      <w:r>
        <w:t>10.1 本条所述的“不可抗力”系指合同个方无法控制，不可预见的事件，但不包括供货商的违约或疏忽。这些事件包括但不限于：战争、洪水、台风、地震等。</w:t>
      </w:r>
    </w:p>
    <w:p>
      <w:pPr>
        <w:ind w:firstLine="480"/>
      </w:pPr>
      <w:r>
        <w:t>10.2 如果卖方因不可抗力而导致合同实施延误或不能履行合同义务，不应承担误期赔偿或终止合同的责任。</w:t>
      </w:r>
    </w:p>
    <w:p>
      <w:pPr>
        <w:ind w:firstLine="480"/>
      </w:pPr>
      <w:r>
        <w:t>10.3 不可抗力事件发生后，卖方应当尽快书面将情况通知买方。双方应通过友好协商在合理的事件内达成进一步立履行合同的协议。</w:t>
      </w:r>
    </w:p>
    <w:p>
      <w:pPr>
        <w:ind w:firstLine="482"/>
        <w:rPr>
          <w:b/>
        </w:rPr>
      </w:pPr>
      <w:r>
        <w:rPr>
          <w:b/>
        </w:rPr>
        <w:t>11. 税费</w:t>
      </w:r>
    </w:p>
    <w:p>
      <w:pPr>
        <w:ind w:firstLine="480"/>
      </w:pPr>
      <w:r>
        <w:t>11.1 中国政府根据现行税法规定对买方征收的与本合同有关的一切税费均应由买方承担。</w:t>
      </w:r>
    </w:p>
    <w:p>
      <w:pPr>
        <w:ind w:firstLine="480"/>
      </w:pPr>
      <w:r>
        <w:t>11.2 中国政府根据现行税法规定对卖方征收的与本合同有关的一切税费均应由卖方承担。</w:t>
      </w:r>
    </w:p>
    <w:p>
      <w:pPr>
        <w:ind w:firstLine="482"/>
        <w:rPr>
          <w:b/>
        </w:rPr>
      </w:pPr>
      <w:r>
        <w:rPr>
          <w:b/>
        </w:rPr>
        <w:t>12. 争端的解决</w:t>
      </w:r>
    </w:p>
    <w:p>
      <w:pPr>
        <w:ind w:firstLine="480"/>
      </w:pPr>
      <w:r>
        <w:t>12.1 双方应通过友好协商，解决争端；若协商不能解决争端，则应在交货所在地申请仲裁。</w:t>
      </w:r>
    </w:p>
    <w:p>
      <w:pPr>
        <w:ind w:firstLine="482"/>
        <w:rPr>
          <w:b/>
        </w:rPr>
      </w:pPr>
      <w:r>
        <w:rPr>
          <w:b/>
        </w:rPr>
        <w:t>13. 适用法律</w:t>
      </w:r>
    </w:p>
    <w:p>
      <w:pPr>
        <w:ind w:firstLine="480"/>
      </w:pPr>
      <w:r>
        <w:t>13.1 本合同应按中华人民共和国的法律进行解释。</w:t>
      </w:r>
    </w:p>
    <w:p>
      <w:pPr>
        <w:ind w:firstLine="482"/>
        <w:rPr>
          <w:b/>
        </w:rPr>
      </w:pPr>
      <w:r>
        <w:rPr>
          <w:b/>
        </w:rPr>
        <w:t>14. 合同生效</w:t>
      </w:r>
    </w:p>
    <w:p>
      <w:pPr>
        <w:ind w:firstLine="480"/>
      </w:pPr>
      <w:r>
        <w:t>14.1 本合同应在各方签字盖章后生效。</w:t>
      </w:r>
    </w:p>
    <w:p>
      <w:pPr>
        <w:ind w:firstLine="482"/>
        <w:rPr>
          <w:b/>
        </w:rPr>
      </w:pPr>
      <w:r>
        <w:rPr>
          <w:b/>
        </w:rPr>
        <w:t>15. 合同修改</w:t>
      </w:r>
    </w:p>
    <w:p>
      <w:pPr>
        <w:ind w:firstLine="480"/>
      </w:pPr>
      <w:r>
        <w:t>15.1 除双方签署书面修改协议外，并成为本合同不可分割的一部分的情况之外，本合同不得有任何变化或修改。</w:t>
      </w:r>
    </w:p>
    <w:p>
      <w:pPr>
        <w:ind w:firstLine="482"/>
        <w:rPr>
          <w:b/>
        </w:rPr>
      </w:pPr>
      <w:r>
        <w:rPr>
          <w:b/>
        </w:rPr>
        <w:t>16. 转让与分包</w:t>
      </w:r>
    </w:p>
    <w:p>
      <w:pPr>
        <w:ind w:firstLine="480"/>
      </w:pPr>
      <w:r>
        <w:t>16.1 除双方另有书面协定外，双方不得将其权利、责任和义务转让或转移给任何第三方。</w:t>
      </w:r>
    </w:p>
    <w:p>
      <w:pPr>
        <w:ind w:firstLine="420" w:firstLineChars="200"/>
        <w:rPr>
          <w:rFonts w:hint="eastAsia"/>
          <w:b/>
          <w:sz w:val="28"/>
          <w:szCs w:val="28"/>
          <w:highlight w:val="yellow"/>
        </w:rPr>
      </w:pPr>
      <w:r>
        <w:t>16.2 除本合同另有规定外，未经买方同意，卖方不得全部或部分将本合同分包给合同双方以外的任何一方。</w:t>
      </w:r>
    </w:p>
    <w:p>
      <w:pPr>
        <w:rPr>
          <w:rFonts w:hint="eastAsia"/>
        </w:rPr>
      </w:pPr>
    </w:p>
    <w:p>
      <w:pPr>
        <w:pStyle w:val="13"/>
        <w:rPr>
          <w:rFonts w:hint="eastAsia"/>
        </w:rPr>
      </w:pPr>
    </w:p>
    <w:p>
      <w:pPr>
        <w:rPr>
          <w:rFonts w:hint="eastAsia"/>
        </w:rPr>
      </w:pPr>
      <w:bookmarkStart w:id="67" w:name="_Toc2106"/>
    </w:p>
    <w:p>
      <w:pPr>
        <w:pStyle w:val="2"/>
        <w:rPr>
          <w:rFonts w:hint="eastAsia"/>
        </w:rPr>
      </w:pPr>
    </w:p>
    <w:bookmarkEnd w:id="67"/>
    <w:p>
      <w:pPr>
        <w:pStyle w:val="5"/>
        <w:numPr>
          <w:ilvl w:val="0"/>
          <w:numId w:val="0"/>
        </w:numPr>
        <w:spacing w:before="260" w:after="260" w:line="240" w:lineRule="auto"/>
        <w:jc w:val="both"/>
        <w:rPr>
          <w:rFonts w:hint="eastAsia" w:cs="宋体"/>
          <w:kern w:val="2"/>
          <w:sz w:val="44"/>
          <w:szCs w:val="44"/>
        </w:rPr>
      </w:pPr>
      <w:bookmarkStart w:id="68" w:name="_Toc456291479"/>
      <w:bookmarkStart w:id="69" w:name="_Toc456291260"/>
      <w:bookmarkStart w:id="70" w:name="_Toc456291537"/>
      <w:bookmarkStart w:id="71" w:name="_Toc456291165"/>
      <w:bookmarkStart w:id="72" w:name="_Toc44692157"/>
      <w:bookmarkStart w:id="73" w:name="_Toc456291280"/>
      <w:bookmarkStart w:id="74" w:name="_Toc15914"/>
      <w:bookmarkStart w:id="75" w:name="_Toc456291354"/>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p>
    <w:p>
      <w:pPr>
        <w:rPr>
          <w:rFonts w:hint="eastAsia"/>
        </w:rPr>
      </w:pPr>
    </w:p>
    <w:p>
      <w:pPr>
        <w:pStyle w:val="5"/>
        <w:numPr>
          <w:ilvl w:val="0"/>
          <w:numId w:val="0"/>
        </w:numPr>
        <w:spacing w:before="260" w:after="260" w:line="240" w:lineRule="auto"/>
        <w:ind w:left="840" w:leftChars="0" w:firstLine="883" w:firstLineChars="200"/>
        <w:jc w:val="both"/>
        <w:rPr>
          <w:rFonts w:hint="eastAsia" w:cs="宋体"/>
          <w:kern w:val="2"/>
          <w:sz w:val="44"/>
          <w:szCs w:val="44"/>
        </w:rPr>
      </w:pPr>
      <w:r>
        <w:rPr>
          <w:rFonts w:hint="eastAsia" w:cs="宋体"/>
          <w:kern w:val="2"/>
          <w:sz w:val="44"/>
          <w:szCs w:val="44"/>
        </w:rPr>
        <w:t>第五章 谈判响应文件格式</w:t>
      </w:r>
      <w:bookmarkEnd w:id="68"/>
      <w:bookmarkEnd w:id="69"/>
      <w:bookmarkEnd w:id="70"/>
      <w:bookmarkEnd w:id="71"/>
      <w:bookmarkEnd w:id="72"/>
      <w:bookmarkEnd w:id="73"/>
      <w:bookmarkEnd w:id="74"/>
      <w:bookmarkEnd w:id="75"/>
      <w:bookmarkStart w:id="76" w:name="_Hlk46603820"/>
    </w:p>
    <w:p>
      <w:pPr>
        <w:widowControl w:val="0"/>
        <w:numPr>
          <w:ilvl w:val="0"/>
          <w:numId w:val="0"/>
        </w:numPr>
        <w:jc w:val="both"/>
        <w:rPr>
          <w:rFonts w:hint="eastAsia"/>
        </w:rPr>
      </w:pPr>
    </w:p>
    <w:p>
      <w:pPr>
        <w:pStyle w:val="2"/>
        <w:rPr>
          <w:rFonts w:hint="eastAsia"/>
        </w:rPr>
      </w:pPr>
    </w:p>
    <w:p>
      <w:pPr>
        <w:pStyle w:val="2"/>
        <w:rPr>
          <w:rFonts w:hint="eastAsia"/>
        </w:rPr>
      </w:pPr>
    </w:p>
    <w:p>
      <w:pPr>
        <w:pStyle w:val="2"/>
        <w:rPr>
          <w:rFonts w:hint="eastAsia"/>
        </w:rPr>
      </w:pPr>
    </w:p>
    <w:bookmarkEnd w:id="76"/>
    <w:p>
      <w:pPr>
        <w:jc w:val="center"/>
        <w:rPr>
          <w:rFonts w:hint="eastAsia"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hint="eastAsia" w:ascii="宋体" w:hAnsi="宋体" w:cs="宋体"/>
          <w:color w:val="000000"/>
          <w:kern w:val="0"/>
          <w:sz w:val="380"/>
          <w:szCs w:val="380"/>
        </w:rPr>
      </w:pPr>
      <w:bookmarkStart w:id="77" w:name="_Hlk46603827"/>
      <w:bookmarkStart w:id="78" w:name="_Hlk36595941"/>
    </w:p>
    <w:bookmarkEnd w:id="77"/>
    <w:p>
      <w:pPr>
        <w:ind w:firstLine="1699" w:firstLineChars="472"/>
        <w:rPr>
          <w:rFonts w:hint="eastAsia"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hint="eastAsia"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hint="eastAsia"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hint="eastAsia"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78"/>
      <w:bookmarkStart w:id="79" w:name="_Toc448862871"/>
      <w:bookmarkStart w:id="80" w:name="_Toc449191483"/>
    </w:p>
    <w:p>
      <w:pPr>
        <w:pStyle w:val="5"/>
        <w:numPr>
          <w:ilvl w:val="0"/>
          <w:numId w:val="0"/>
        </w:numPr>
        <w:spacing w:before="260" w:after="260" w:line="415" w:lineRule="auto"/>
        <w:ind w:leftChars="0"/>
        <w:jc w:val="center"/>
        <w:rPr>
          <w:rFonts w:hint="eastAsia" w:cs="宋体"/>
          <w:kern w:val="2"/>
          <w:sz w:val="30"/>
          <w:szCs w:val="30"/>
        </w:rPr>
      </w:pPr>
      <w:r>
        <w:rPr>
          <w:rFonts w:hint="eastAsia" w:cs="宋体"/>
          <w:color w:val="000000"/>
          <w:u w:val="single"/>
        </w:rPr>
        <w:br w:type="page"/>
      </w:r>
      <w:bookmarkEnd w:id="79"/>
      <w:bookmarkEnd w:id="80"/>
      <w:bookmarkStart w:id="81" w:name="_Toc3209"/>
      <w:r>
        <w:rPr>
          <w:rFonts w:hint="eastAsia" w:cs="宋体"/>
          <w:sz w:val="30"/>
          <w:szCs w:val="30"/>
        </w:rPr>
        <w:t xml:space="preserve">一  </w:t>
      </w:r>
      <w:r>
        <w:rPr>
          <w:rFonts w:hint="eastAsia" w:cs="宋体"/>
          <w:kern w:val="2"/>
          <w:sz w:val="30"/>
          <w:szCs w:val="30"/>
        </w:rPr>
        <w:t>竞争性谈判响应函</w:t>
      </w:r>
      <w:bookmarkEnd w:id="81"/>
    </w:p>
    <w:p>
      <w:pPr>
        <w:widowControl/>
        <w:spacing w:before="156" w:beforeLines="50" w:line="360" w:lineRule="auto"/>
        <w:rPr>
          <w:rFonts w:hint="eastAsia" w:ascii="宋体" w:hAnsi="宋体" w:cs="宋体"/>
          <w:sz w:val="24"/>
        </w:rPr>
      </w:pPr>
      <w:bookmarkStart w:id="82" w:name="_Hlk44785273"/>
      <w:r>
        <w:rPr>
          <w:rFonts w:hint="eastAsia" w:ascii="宋体" w:hAnsi="宋体" w:cs="宋体"/>
          <w:sz w:val="24"/>
        </w:rPr>
        <w:t>（采购人名称）：</w:t>
      </w:r>
    </w:p>
    <w:bookmarkEnd w:id="82"/>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根据贵方（采购项目名称/采购项目编号）项目采购的谈判邀请，</w:t>
      </w:r>
      <w:bookmarkStart w:id="83"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83"/>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1.报价一览表。</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2.分项报价明细表。</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3.货物、服务清单。</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5.资格证明文件。</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在此，我方宣布同意如下：</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（1）我方将按竞争性谈判文件的约定履行合同责任和义务。</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（4）</w:t>
      </w:r>
      <w:bookmarkStart w:id="84" w:name="_Hlk44785479"/>
      <w:r>
        <w:rPr>
          <w:rFonts w:hint="eastAsia" w:hAnsi="宋体" w:eastAsia="宋体" w:cs="宋体"/>
          <w:sz w:val="24"/>
          <w:szCs w:val="24"/>
        </w:rPr>
        <w:t>我方承诺所提交的谈判响应文件及相关资料真实有效。</w:t>
      </w:r>
      <w:bookmarkEnd w:id="84"/>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33"/>
        <w:spacing w:line="360" w:lineRule="auto"/>
        <w:ind w:firstLine="480" w:firstLineChars="200"/>
        <w:rPr>
          <w:rFonts w:hint="eastAsia"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hint="eastAsia" w:ascii="宋体" w:hAnsi="宋体" w:cs="宋体"/>
          <w:color w:val="000000"/>
          <w:sz w:val="24"/>
          <w:u w:val="single"/>
        </w:rPr>
      </w:pPr>
      <w:bookmarkStart w:id="85" w:name="_Hlk46705345"/>
    </w:p>
    <w:p>
      <w:pPr>
        <w:spacing w:line="360" w:lineRule="auto"/>
        <w:ind w:firstLine="3578" w:firstLineChars="1491"/>
        <w:jc w:val="left"/>
        <w:rPr>
          <w:rFonts w:hint="eastAsia"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hint="eastAsia"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hint="eastAsia"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bookmarkEnd w:id="85"/>
      <w:r>
        <w:rPr>
          <w:rFonts w:hint="eastAsia" w:ascii="宋体" w:hAnsi="宋体" w:cs="宋体"/>
          <w:sz w:val="24"/>
          <w:u w:val="single"/>
        </w:rPr>
        <w:t xml:space="preserve"> </w:t>
      </w:r>
    </w:p>
    <w:p>
      <w:pPr>
        <w:pStyle w:val="3"/>
        <w:spacing w:line="500" w:lineRule="exact"/>
        <w:jc w:val="both"/>
        <w:rPr>
          <w:rFonts w:hint="eastAsia"/>
          <w:b w:val="0"/>
          <w:sz w:val="36"/>
        </w:rPr>
      </w:pPr>
    </w:p>
    <w:p>
      <w:pPr>
        <w:rPr>
          <w:rFonts w:hint="eastAsia"/>
          <w:b/>
          <w:sz w:val="36"/>
        </w:rPr>
      </w:pPr>
    </w:p>
    <w:p>
      <w:pPr>
        <w:pStyle w:val="2"/>
        <w:rPr>
          <w:rFonts w:hint="eastAsia"/>
          <w:b/>
          <w:sz w:val="36"/>
        </w:rPr>
      </w:pPr>
    </w:p>
    <w:p>
      <w:pPr>
        <w:pStyle w:val="2"/>
        <w:rPr>
          <w:rFonts w:hint="eastAsia"/>
          <w:b/>
          <w:sz w:val="36"/>
        </w:rPr>
      </w:pPr>
    </w:p>
    <w:p>
      <w:pPr>
        <w:pStyle w:val="2"/>
        <w:rPr>
          <w:rFonts w:hint="eastAsia"/>
        </w:rPr>
      </w:pPr>
    </w:p>
    <w:p>
      <w:pPr>
        <w:spacing w:line="480" w:lineRule="exact"/>
        <w:jc w:val="center"/>
        <w:rPr>
          <w:sz w:val="30"/>
          <w:szCs w:val="30"/>
        </w:rPr>
      </w:pPr>
      <w:r>
        <w:rPr>
          <w:rFonts w:hint="eastAsia"/>
          <w:b/>
          <w:sz w:val="30"/>
          <w:szCs w:val="30"/>
        </w:rPr>
        <w:t>二、法定代表人身份证明</w:t>
      </w:r>
    </w:p>
    <w:p>
      <w:pPr>
        <w:spacing w:line="500" w:lineRule="exact"/>
        <w:rPr>
          <w:rFonts w:ascii="黑体" w:hAnsi="宋体" w:eastAsia="黑体"/>
          <w:sz w:val="30"/>
          <w:szCs w:val="30"/>
        </w:rPr>
      </w:pPr>
    </w:p>
    <w:p>
      <w:pPr>
        <w:spacing w:line="500" w:lineRule="exact"/>
        <w:rPr>
          <w:rFonts w:ascii="黑体" w:hAnsi="宋体" w:eastAsia="黑体"/>
          <w:sz w:val="24"/>
          <w:szCs w:val="24"/>
        </w:rPr>
      </w:pPr>
      <w:r>
        <w:rPr>
          <w:rFonts w:hint="eastAsia" w:ascii="黑体" w:hAnsi="宋体" w:eastAsia="黑体"/>
          <w:sz w:val="24"/>
        </w:rPr>
        <w:t>投 标 人：</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单位性质：</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地    址：</w:t>
      </w:r>
      <w:r>
        <w:rPr>
          <w:rFonts w:hint="eastAsia" w:ascii="宋体" w:hAnsi="宋体"/>
          <w:sz w:val="24"/>
          <w:u w:val="single"/>
        </w:rPr>
        <w:t xml:space="preserve">                                                        </w:t>
      </w:r>
    </w:p>
    <w:p>
      <w:pPr>
        <w:spacing w:line="500" w:lineRule="exact"/>
        <w:rPr>
          <w:rFonts w:ascii="宋体" w:hAnsi="宋体"/>
          <w:sz w:val="24"/>
        </w:rPr>
      </w:pPr>
      <w:r>
        <w:rPr>
          <w:rFonts w:hint="eastAsia" w:ascii="黑体" w:hAnsi="宋体" w:eastAsia="黑体"/>
          <w:sz w:val="24"/>
        </w:rPr>
        <w:t>成立时间：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00" w:lineRule="exact"/>
        <w:rPr>
          <w:rFonts w:ascii="黑体" w:hAnsi="宋体" w:eastAsia="黑体"/>
          <w:sz w:val="24"/>
        </w:rPr>
      </w:pPr>
      <w:r>
        <w:rPr>
          <w:rFonts w:hint="eastAsia" w:ascii="黑体" w:hAnsi="宋体" w:eastAsia="黑体"/>
          <w:sz w:val="24"/>
        </w:rPr>
        <w:t>经营期限：</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姓    名：</w:t>
      </w:r>
      <w:r>
        <w:rPr>
          <w:rFonts w:hint="eastAsia" w:ascii="宋体" w:hAnsi="宋体"/>
          <w:sz w:val="24"/>
          <w:u w:val="single"/>
        </w:rPr>
        <w:t xml:space="preserve">                          </w:t>
      </w:r>
      <w:r>
        <w:rPr>
          <w:rFonts w:hint="eastAsia" w:ascii="黑体" w:hAnsi="宋体" w:eastAsia="黑体"/>
          <w:sz w:val="24"/>
        </w:rPr>
        <w:t>性        别：</w:t>
      </w:r>
      <w:r>
        <w:rPr>
          <w:rFonts w:hint="eastAsia" w:ascii="宋体" w:hAnsi="宋体"/>
          <w:sz w:val="24"/>
          <w:u w:val="single"/>
        </w:rPr>
        <w:t xml:space="preserve">                </w:t>
      </w:r>
    </w:p>
    <w:p>
      <w:pPr>
        <w:spacing w:line="500" w:lineRule="exact"/>
        <w:rPr>
          <w:rFonts w:ascii="黑体" w:hAnsi="宋体" w:eastAsia="黑体"/>
          <w:sz w:val="24"/>
        </w:rPr>
      </w:pPr>
      <w:r>
        <w:rPr>
          <w:rFonts w:hint="eastAsia" w:ascii="黑体" w:hAnsi="宋体" w:eastAsia="黑体"/>
          <w:sz w:val="24"/>
        </w:rPr>
        <w:t>年    龄：</w:t>
      </w:r>
      <w:r>
        <w:rPr>
          <w:rFonts w:hint="eastAsia" w:ascii="宋体" w:hAnsi="宋体"/>
          <w:sz w:val="24"/>
          <w:u w:val="single"/>
        </w:rPr>
        <w:t xml:space="preserve">                          </w:t>
      </w:r>
      <w:r>
        <w:rPr>
          <w:rFonts w:hint="eastAsia" w:ascii="黑体" w:hAnsi="宋体" w:eastAsia="黑体"/>
          <w:sz w:val="24"/>
        </w:rPr>
        <w:t>职        务：</w:t>
      </w:r>
      <w:r>
        <w:rPr>
          <w:rFonts w:hint="eastAsia" w:ascii="宋体" w:hAnsi="宋体"/>
          <w:sz w:val="24"/>
          <w:u w:val="single"/>
        </w:rPr>
        <w:t xml:space="preserve">                </w:t>
      </w:r>
    </w:p>
    <w:p>
      <w:pPr>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（投标人名称）的法定代表人。</w:t>
      </w:r>
    </w:p>
    <w:p>
      <w:pPr>
        <w:spacing w:line="500" w:lineRule="exact"/>
        <w:rPr>
          <w:rFonts w:ascii="宋体" w:hAnsi="宋体"/>
          <w:sz w:val="24"/>
        </w:rPr>
      </w:pPr>
      <w:r>
        <w:rPr>
          <w:rFonts w:hint="eastAsia" w:ascii="宋体" w:hAnsi="宋体"/>
          <w:sz w:val="24"/>
        </w:rPr>
        <w:t>特此证明。</w:t>
      </w:r>
    </w:p>
    <w:p>
      <w:pPr>
        <w:spacing w:line="500" w:lineRule="exact"/>
        <w:rPr>
          <w:rFonts w:ascii="宋体" w:hAnsi="宋体"/>
          <w:sz w:val="24"/>
        </w:rPr>
      </w:pPr>
    </w:p>
    <w:p>
      <w:pPr>
        <w:spacing w:line="500" w:lineRule="exact"/>
        <w:rPr>
          <w:rFonts w:ascii="宋体" w:hAnsi="宋体"/>
          <w:sz w:val="24"/>
        </w:rPr>
      </w:pPr>
    </w:p>
    <w:p>
      <w:pPr>
        <w:wordWrap w:val="0"/>
        <w:spacing w:line="500" w:lineRule="exact"/>
        <w:jc w:val="right"/>
        <w:rPr>
          <w:rFonts w:ascii="宋体" w:hAnsi="宋体"/>
          <w:sz w:val="24"/>
        </w:rPr>
      </w:pPr>
      <w:r>
        <w:rPr>
          <w:rFonts w:hint="eastAsia" w:ascii="黑体" w:hAnsi="宋体" w:eastAsia="黑体"/>
          <w:sz w:val="24"/>
        </w:rPr>
        <w:t>投标人：</w:t>
      </w:r>
      <w:r>
        <w:rPr>
          <w:rFonts w:hint="eastAsia" w:ascii="宋体" w:hAnsi="宋体"/>
          <w:sz w:val="24"/>
          <w:u w:val="single"/>
        </w:rPr>
        <w:t xml:space="preserve">                          </w:t>
      </w:r>
      <w:r>
        <w:rPr>
          <w:rFonts w:hint="eastAsia" w:ascii="宋体" w:hAnsi="宋体"/>
          <w:sz w:val="24"/>
        </w:rPr>
        <w:t>（盖单位章）</w:t>
      </w:r>
    </w:p>
    <w:p>
      <w:pPr>
        <w:jc w:val="center"/>
        <w:rPr>
          <w:rFonts w:ascii="宋体" w:hAnsi="宋体"/>
          <w:sz w:val="24"/>
          <w:u w:val="single"/>
        </w:rPr>
      </w:pPr>
    </w:p>
    <w:p>
      <w:pPr>
        <w:jc w:val="right"/>
        <w:rPr>
          <w:b/>
          <w:sz w:val="36"/>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jc w:val="center"/>
        <w:rPr>
          <w:b/>
          <w:sz w:val="36"/>
        </w:rPr>
      </w:pPr>
    </w:p>
    <w:p>
      <w:pPr>
        <w:jc w:val="center"/>
        <w:rPr>
          <w:b/>
          <w:sz w:val="36"/>
        </w:rPr>
      </w:pPr>
    </w:p>
    <w:tbl>
      <w:tblPr>
        <w:tblStyle w:val="1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6"/>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4236" w:type="dxa"/>
            <w:noWrap w:val="0"/>
            <w:vAlign w:val="top"/>
          </w:tcPr>
          <w:p>
            <w:pPr>
              <w:jc w:val="center"/>
              <w:rPr>
                <w:b/>
                <w:sz w:val="36"/>
              </w:rPr>
            </w:pPr>
          </w:p>
          <w:p>
            <w:pPr>
              <w:jc w:val="center"/>
              <w:rPr>
                <w:b/>
                <w:sz w:val="36"/>
              </w:rPr>
            </w:pPr>
          </w:p>
          <w:p>
            <w:pPr>
              <w:jc w:val="center"/>
              <w:rPr>
                <w:sz w:val="28"/>
              </w:rPr>
            </w:pPr>
            <w:r>
              <w:rPr>
                <w:rFonts w:hint="eastAsia"/>
                <w:sz w:val="28"/>
              </w:rPr>
              <w:t>法定代表人身份证复印件正面</w:t>
            </w:r>
          </w:p>
          <w:p>
            <w:pPr>
              <w:rPr>
                <w:b/>
                <w:sz w:val="36"/>
              </w:rPr>
            </w:pPr>
          </w:p>
        </w:tc>
        <w:tc>
          <w:tcPr>
            <w:tcW w:w="4411" w:type="dxa"/>
            <w:noWrap w:val="0"/>
            <w:vAlign w:val="top"/>
          </w:tcPr>
          <w:p>
            <w:pPr>
              <w:jc w:val="center"/>
              <w:rPr>
                <w:b/>
                <w:sz w:val="36"/>
              </w:rPr>
            </w:pPr>
          </w:p>
          <w:p>
            <w:pPr>
              <w:jc w:val="center"/>
              <w:rPr>
                <w:b/>
                <w:sz w:val="36"/>
              </w:rPr>
            </w:pPr>
          </w:p>
          <w:p>
            <w:pPr>
              <w:jc w:val="center"/>
              <w:rPr>
                <w:b/>
                <w:sz w:val="36"/>
              </w:rPr>
            </w:pPr>
            <w:r>
              <w:rPr>
                <w:rFonts w:hint="eastAsia"/>
                <w:sz w:val="28"/>
              </w:rPr>
              <w:t>法定代表人身份证复印件反面</w:t>
            </w:r>
          </w:p>
          <w:p>
            <w:pPr>
              <w:jc w:val="center"/>
              <w:rPr>
                <w:b/>
                <w:sz w:val="36"/>
              </w:rPr>
            </w:pPr>
          </w:p>
          <w:p>
            <w:pPr>
              <w:jc w:val="center"/>
              <w:rPr>
                <w:b/>
                <w:sz w:val="36"/>
              </w:rPr>
            </w:pPr>
          </w:p>
        </w:tc>
      </w:tr>
    </w:tbl>
    <w:p>
      <w:pPr>
        <w:spacing w:before="312" w:beforeLines="100" w:after="156" w:afterLines="50"/>
        <w:jc w:val="center"/>
        <w:rPr>
          <w:rFonts w:hint="eastAsia"/>
          <w:b/>
          <w:sz w:val="36"/>
        </w:rPr>
      </w:pPr>
    </w:p>
    <w:p>
      <w:pPr>
        <w:spacing w:before="312" w:beforeLines="100" w:after="156" w:afterLines="50"/>
        <w:jc w:val="center"/>
        <w:rPr>
          <w:rFonts w:hint="eastAsia"/>
          <w:b/>
          <w:sz w:val="36"/>
        </w:rPr>
      </w:pPr>
    </w:p>
    <w:p>
      <w:pPr>
        <w:spacing w:before="312" w:beforeLines="100" w:after="156" w:afterLines="50"/>
        <w:jc w:val="center"/>
        <w:rPr>
          <w:rFonts w:hint="eastAsia"/>
          <w:b/>
          <w:sz w:val="36"/>
        </w:rPr>
      </w:pPr>
    </w:p>
    <w:p>
      <w:pPr>
        <w:spacing w:before="312" w:beforeLines="100" w:after="156" w:afterLines="50"/>
        <w:jc w:val="center"/>
        <w:rPr>
          <w:rFonts w:hint="eastAsia"/>
          <w:b/>
          <w:sz w:val="36"/>
        </w:rPr>
      </w:pPr>
    </w:p>
    <w:p>
      <w:pPr>
        <w:spacing w:before="312" w:beforeLines="100" w:after="156" w:afterLines="50"/>
        <w:jc w:val="center"/>
        <w:rPr>
          <w:b/>
          <w:sz w:val="30"/>
          <w:szCs w:val="30"/>
        </w:rPr>
      </w:pPr>
      <w:r>
        <w:rPr>
          <w:rFonts w:hint="eastAsia"/>
          <w:b/>
          <w:sz w:val="30"/>
          <w:szCs w:val="30"/>
        </w:rPr>
        <w:t>三、授权委托书</w:t>
      </w:r>
    </w:p>
    <w:p>
      <w:pPr>
        <w:spacing w:line="500" w:lineRule="exact"/>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（法定代表人姓名）系</w:t>
      </w:r>
      <w:r>
        <w:rPr>
          <w:rFonts w:hint="eastAsia" w:ascii="宋体" w:hAnsi="宋体"/>
          <w:sz w:val="24"/>
          <w:u w:val="single"/>
        </w:rPr>
        <w:t xml:space="preserve">             </w:t>
      </w:r>
      <w:r>
        <w:rPr>
          <w:rFonts w:hint="eastAsia" w:ascii="宋体" w:hAnsi="宋体"/>
          <w:sz w:val="24"/>
        </w:rPr>
        <w:t>（投标人名称）的法定代表人，现委托</w:t>
      </w:r>
      <w:r>
        <w:rPr>
          <w:rFonts w:hint="eastAsia" w:ascii="宋体" w:hAnsi="宋体"/>
          <w:sz w:val="24"/>
          <w:u w:val="single"/>
        </w:rPr>
        <w:t xml:space="preserve">              </w:t>
      </w:r>
      <w:r>
        <w:rPr>
          <w:rFonts w:hint="eastAsia" w:ascii="宋体" w:hAnsi="宋体"/>
          <w:sz w:val="24"/>
        </w:rPr>
        <w:t>（委托代理人姓名）为我方代理人，以本公司的名义参</w:t>
      </w:r>
      <w:r>
        <w:rPr>
          <w:rFonts w:hint="eastAsia" w:ascii="宋体" w:hAnsi="宋体"/>
          <w:sz w:val="24"/>
          <w:szCs w:val="24"/>
        </w:rPr>
        <w:t>加</w:t>
      </w:r>
      <w:r>
        <w:rPr>
          <w:rFonts w:hint="eastAsia" w:ascii="宋体" w:hAnsi="宋体" w:eastAsia="宋体" w:cs="宋体"/>
          <w:b w:val="0"/>
          <w:bCs w:val="0"/>
          <w:i w:val="0"/>
          <w:iCs w:val="0"/>
          <w:color w:val="000000"/>
          <w:kern w:val="0"/>
          <w:sz w:val="24"/>
          <w:szCs w:val="24"/>
          <w:u w:val="single"/>
          <w:lang w:val="en-US" w:eastAsia="zh-CN" w:bidi="ar"/>
        </w:rPr>
        <w:t>黄石市</w:t>
      </w:r>
      <w:r>
        <w:rPr>
          <w:rFonts w:hint="eastAsia"/>
          <w:sz w:val="24"/>
          <w:szCs w:val="24"/>
          <w:u w:val="single"/>
        </w:rPr>
        <w:t>中心医院（黄金山院</w:t>
      </w:r>
      <w:r>
        <w:rPr>
          <w:rFonts w:hint="eastAsia"/>
          <w:b w:val="0"/>
          <w:bCs w:val="0"/>
          <w:sz w:val="24"/>
          <w:szCs w:val="24"/>
          <w:u w:val="single"/>
        </w:rPr>
        <w:t>区）</w:t>
      </w:r>
      <w:r>
        <w:rPr>
          <w:rFonts w:hint="eastAsia" w:ascii="宋体" w:hAnsi="宋体" w:eastAsia="宋体" w:cs="宋体"/>
          <w:b w:val="0"/>
          <w:bCs w:val="0"/>
          <w:i w:val="0"/>
          <w:iCs w:val="0"/>
          <w:color w:val="000000"/>
          <w:kern w:val="0"/>
          <w:sz w:val="24"/>
          <w:szCs w:val="24"/>
          <w:u w:val="single"/>
          <w:lang w:val="en-US" w:eastAsia="zh-CN" w:bidi="ar"/>
        </w:rPr>
        <w:t>新增加窗帘采购</w:t>
      </w:r>
      <w:r>
        <w:rPr>
          <w:rFonts w:hint="eastAsia" w:ascii="宋体" w:hAnsi="宋体"/>
          <w:b w:val="0"/>
          <w:bCs w:val="0"/>
          <w:sz w:val="24"/>
          <w:szCs w:val="24"/>
          <w:u w:val="single"/>
        </w:rPr>
        <w:t xml:space="preserve"> </w:t>
      </w:r>
      <w:r>
        <w:rPr>
          <w:rFonts w:hint="eastAsia" w:ascii="宋体" w:hAnsi="宋体"/>
          <w:b/>
          <w:sz w:val="24"/>
          <w:szCs w:val="24"/>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的投标。授权委托人在评标、谈判、合同谈判过程中所签署的一切文件和处理与之有关的一切事务，我均予以承认。</w:t>
      </w:r>
    </w:p>
    <w:p>
      <w:pPr>
        <w:spacing w:before="156" w:beforeLines="50" w:line="500" w:lineRule="exact"/>
        <w:ind w:firstLine="480" w:firstLineChars="200"/>
        <w:rPr>
          <w:rFonts w:hint="eastAsia" w:ascii="宋体" w:hAnsi="宋体"/>
          <w:sz w:val="24"/>
        </w:rPr>
      </w:pPr>
      <w:r>
        <w:rPr>
          <w:rFonts w:hint="eastAsia" w:ascii="宋体" w:hAnsi="宋体"/>
          <w:sz w:val="24"/>
        </w:rPr>
        <w:t>委托期限：</w:t>
      </w:r>
      <w:r>
        <w:rPr>
          <w:rFonts w:hint="eastAsia" w:ascii="宋体" w:hAnsi="宋体"/>
          <w:sz w:val="24"/>
          <w:u w:val="single"/>
        </w:rPr>
        <w:t xml:space="preserve">                                                    </w:t>
      </w:r>
    </w:p>
    <w:p>
      <w:pPr>
        <w:spacing w:before="156" w:beforeLines="50" w:line="500" w:lineRule="exact"/>
        <w:ind w:firstLine="480" w:firstLineChars="200"/>
        <w:rPr>
          <w:rFonts w:ascii="宋体" w:hAnsi="宋体"/>
          <w:sz w:val="24"/>
        </w:rPr>
      </w:pPr>
      <w:r>
        <w:rPr>
          <w:rFonts w:hint="eastAsia" w:ascii="宋体" w:hAnsi="宋体"/>
          <w:sz w:val="24"/>
        </w:rPr>
        <w:t>代理人无转委托权，特此委托。</w:t>
      </w:r>
    </w:p>
    <w:tbl>
      <w:tblPr>
        <w:tblStyle w:val="15"/>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4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9" w:hRule="atLeast"/>
        </w:trPr>
        <w:tc>
          <w:tcPr>
            <w:tcW w:w="4320" w:type="dxa"/>
            <w:noWrap w:val="0"/>
            <w:vAlign w:val="top"/>
          </w:tcPr>
          <w:p>
            <w:pPr>
              <w:spacing w:line="500" w:lineRule="exact"/>
              <w:ind w:left="-64"/>
              <w:jc w:val="center"/>
              <w:rPr>
                <w:rFonts w:ascii="宋体" w:hAnsi="宋体"/>
                <w:sz w:val="24"/>
              </w:rPr>
            </w:pPr>
          </w:p>
          <w:p>
            <w:pPr>
              <w:spacing w:line="500" w:lineRule="exact"/>
              <w:ind w:left="-64"/>
              <w:jc w:val="center"/>
              <w:rPr>
                <w:rFonts w:ascii="宋体" w:hAnsi="宋体"/>
                <w:sz w:val="24"/>
              </w:rPr>
            </w:pPr>
          </w:p>
          <w:p>
            <w:pPr>
              <w:spacing w:line="500" w:lineRule="exact"/>
              <w:ind w:left="-64"/>
              <w:jc w:val="center"/>
              <w:rPr>
                <w:rFonts w:ascii="宋体" w:hAnsi="宋体"/>
                <w:sz w:val="24"/>
              </w:rPr>
            </w:pPr>
            <w:r>
              <w:rPr>
                <w:rFonts w:hint="eastAsia" w:ascii="宋体" w:hAnsi="宋体"/>
                <w:sz w:val="24"/>
              </w:rPr>
              <w:t>法定代表人身份证复印件正反面</w:t>
            </w:r>
          </w:p>
          <w:p>
            <w:pPr>
              <w:spacing w:line="500" w:lineRule="exact"/>
              <w:ind w:left="-64"/>
              <w:jc w:val="center"/>
              <w:rPr>
                <w:rFonts w:ascii="宋体" w:hAnsi="宋体"/>
                <w:sz w:val="24"/>
              </w:rPr>
            </w:pPr>
          </w:p>
          <w:p>
            <w:pPr>
              <w:spacing w:line="500" w:lineRule="exact"/>
              <w:ind w:left="-64"/>
              <w:jc w:val="center"/>
              <w:rPr>
                <w:rFonts w:ascii="宋体" w:hAnsi="宋体"/>
                <w:sz w:val="24"/>
              </w:rPr>
            </w:pPr>
          </w:p>
        </w:tc>
        <w:tc>
          <w:tcPr>
            <w:tcW w:w="4471" w:type="dxa"/>
            <w:noWrap w:val="0"/>
            <w:vAlign w:val="top"/>
          </w:tcPr>
          <w:p>
            <w:pPr>
              <w:spacing w:line="500" w:lineRule="exact"/>
              <w:ind w:left="-64"/>
              <w:jc w:val="center"/>
              <w:rPr>
                <w:rFonts w:ascii="宋体" w:hAnsi="宋体"/>
                <w:sz w:val="24"/>
              </w:rPr>
            </w:pPr>
          </w:p>
          <w:p>
            <w:pPr>
              <w:spacing w:line="500" w:lineRule="exact"/>
              <w:jc w:val="center"/>
              <w:rPr>
                <w:rFonts w:ascii="宋体" w:hAnsi="宋体"/>
                <w:sz w:val="24"/>
              </w:rPr>
            </w:pPr>
          </w:p>
          <w:p>
            <w:pPr>
              <w:spacing w:line="500" w:lineRule="exact"/>
              <w:ind w:left="-64"/>
              <w:jc w:val="center"/>
              <w:rPr>
                <w:rFonts w:ascii="宋体" w:hAnsi="宋体"/>
                <w:sz w:val="24"/>
              </w:rPr>
            </w:pPr>
            <w:r>
              <w:rPr>
                <w:rFonts w:ascii="宋体" w:hAnsi="宋体"/>
                <w:sz w:val="24"/>
              </w:rPr>
              <w:t>代理人</w:t>
            </w:r>
            <w:r>
              <w:rPr>
                <w:rFonts w:hint="eastAsia" w:ascii="宋体" w:hAnsi="宋体"/>
                <w:sz w:val="24"/>
              </w:rPr>
              <w:t>身份证复印件正反面</w:t>
            </w:r>
          </w:p>
          <w:p>
            <w:pPr>
              <w:spacing w:line="500" w:lineRule="exact"/>
              <w:jc w:val="center"/>
              <w:rPr>
                <w:rFonts w:ascii="宋体" w:hAnsi="宋体"/>
                <w:sz w:val="24"/>
              </w:rPr>
            </w:pPr>
          </w:p>
        </w:tc>
      </w:tr>
    </w:tbl>
    <w:p>
      <w:pPr>
        <w:spacing w:line="500" w:lineRule="exact"/>
        <w:rPr>
          <w:rFonts w:ascii="宋体" w:hAnsi="宋体"/>
          <w:szCs w:val="21"/>
        </w:rPr>
      </w:pPr>
    </w:p>
    <w:p>
      <w:pPr>
        <w:spacing w:line="400" w:lineRule="exact"/>
        <w:ind w:firstLine="2400" w:firstLineChars="1000"/>
        <w:rPr>
          <w:rFonts w:ascii="宋体" w:hAnsi="宋体"/>
          <w:sz w:val="24"/>
          <w:szCs w:val="24"/>
        </w:rPr>
      </w:pPr>
      <w:r>
        <w:rPr>
          <w:rFonts w:hint="eastAsia" w:ascii="黑体" w:hAnsi="宋体" w:eastAsia="黑体"/>
          <w:sz w:val="24"/>
        </w:rPr>
        <w:t>投  标  人：</w:t>
      </w:r>
      <w:r>
        <w:rPr>
          <w:rFonts w:hint="eastAsia" w:ascii="宋体" w:hAnsi="宋体"/>
          <w:sz w:val="24"/>
          <w:u w:val="single"/>
        </w:rPr>
        <w:t xml:space="preserve">                        </w:t>
      </w:r>
      <w:r>
        <w:rPr>
          <w:rFonts w:hint="eastAsia" w:ascii="宋体" w:hAnsi="宋体"/>
          <w:sz w:val="24"/>
        </w:rPr>
        <w:t>（盖单位章）</w:t>
      </w:r>
    </w:p>
    <w:p>
      <w:pPr>
        <w:spacing w:line="400" w:lineRule="exact"/>
        <w:ind w:firstLine="4080" w:firstLineChars="1700"/>
        <w:rPr>
          <w:rFonts w:ascii="宋体" w:hAnsi="宋体"/>
          <w:sz w:val="24"/>
        </w:rPr>
      </w:pPr>
    </w:p>
    <w:p>
      <w:pPr>
        <w:spacing w:line="400" w:lineRule="exact"/>
        <w:ind w:firstLine="2400" w:firstLineChars="1000"/>
        <w:rPr>
          <w:rFonts w:ascii="宋体" w:hAnsi="宋体"/>
          <w:sz w:val="24"/>
        </w:rPr>
      </w:pPr>
      <w:r>
        <w:rPr>
          <w:rFonts w:hint="eastAsia" w:ascii="黑体" w:hAnsi="宋体" w:eastAsia="黑体"/>
          <w:sz w:val="24"/>
        </w:rPr>
        <w:t>法定代表人：</w:t>
      </w:r>
      <w:r>
        <w:rPr>
          <w:rFonts w:hint="eastAsia" w:ascii="宋体" w:hAnsi="宋体"/>
          <w:sz w:val="24"/>
          <w:u w:val="single"/>
        </w:rPr>
        <w:t xml:space="preserve">                       </w:t>
      </w:r>
      <w:r>
        <w:rPr>
          <w:rFonts w:hint="eastAsia" w:ascii="宋体" w:hAnsi="宋体"/>
          <w:sz w:val="24"/>
        </w:rPr>
        <w:t>（签字或盖章）</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rPr>
          <w:rFonts w:ascii="黑体" w:hAnsi="宋体" w:eastAsia="黑体"/>
          <w:sz w:val="24"/>
          <w:u w:val="single"/>
        </w:rPr>
      </w:pPr>
    </w:p>
    <w:p>
      <w:pPr>
        <w:spacing w:line="400" w:lineRule="exact"/>
        <w:ind w:firstLine="2400" w:firstLineChars="1000"/>
        <w:rPr>
          <w:rFonts w:ascii="宋体" w:hAnsi="宋体"/>
          <w:sz w:val="24"/>
        </w:rPr>
      </w:pPr>
      <w:r>
        <w:rPr>
          <w:rFonts w:hint="eastAsia" w:ascii="黑体" w:hAnsi="宋体" w:eastAsia="黑体"/>
          <w:sz w:val="24"/>
        </w:rPr>
        <w:t>委托代理人：</w:t>
      </w:r>
      <w:r>
        <w:rPr>
          <w:rFonts w:hint="eastAsia" w:ascii="宋体" w:hAnsi="宋体"/>
          <w:sz w:val="24"/>
          <w:u w:val="single"/>
        </w:rPr>
        <w:t xml:space="preserve">                            </w:t>
      </w:r>
      <w:r>
        <w:rPr>
          <w:rFonts w:hint="eastAsia" w:ascii="宋体" w:hAnsi="宋体"/>
          <w:sz w:val="24"/>
        </w:rPr>
        <w:t>（签字）</w:t>
      </w:r>
    </w:p>
    <w:p>
      <w:pPr>
        <w:spacing w:line="400" w:lineRule="exact"/>
        <w:ind w:firstLine="4080" w:firstLineChars="1700"/>
        <w:rPr>
          <w:rFonts w:ascii="宋体" w:hAnsi="宋体"/>
          <w:sz w:val="24"/>
        </w:rPr>
      </w:pPr>
    </w:p>
    <w:p>
      <w:pPr>
        <w:spacing w:line="400" w:lineRule="exact"/>
        <w:ind w:firstLine="2400" w:firstLineChars="1000"/>
        <w:rPr>
          <w:rFonts w:ascii="黑体" w:hAnsi="宋体" w:eastAsia="黑体"/>
          <w:sz w:val="24"/>
          <w:u w:val="single"/>
        </w:rPr>
      </w:pPr>
      <w:r>
        <w:rPr>
          <w:rFonts w:hint="eastAsia" w:ascii="黑体" w:hAnsi="宋体" w:eastAsia="黑体"/>
          <w:sz w:val="24"/>
        </w:rPr>
        <w:t>身份证号码：</w:t>
      </w:r>
      <w:r>
        <w:rPr>
          <w:rFonts w:hint="eastAsia" w:ascii="黑体" w:hAnsi="宋体" w:eastAsia="黑体"/>
          <w:sz w:val="24"/>
          <w:u w:val="single"/>
        </w:rPr>
        <w:t xml:space="preserve">                                   </w:t>
      </w:r>
    </w:p>
    <w:p>
      <w:pPr>
        <w:spacing w:line="400" w:lineRule="exact"/>
        <w:ind w:firstLine="4080" w:firstLineChars="1700"/>
        <w:rPr>
          <w:rFonts w:ascii="黑体" w:hAnsi="宋体" w:eastAsia="黑体"/>
          <w:sz w:val="24"/>
        </w:rPr>
      </w:pPr>
    </w:p>
    <w:p>
      <w:pPr>
        <w:spacing w:line="400" w:lineRule="exact"/>
        <w:ind w:firstLine="4680" w:firstLineChars="195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before="312" w:beforeLines="100" w:after="156" w:afterLines="50"/>
        <w:jc w:val="left"/>
        <w:rPr>
          <w:rFonts w:ascii="宋体" w:hAnsi="宋体"/>
          <w:b/>
          <w:sz w:val="24"/>
          <w:szCs w:val="21"/>
        </w:rPr>
      </w:pPr>
      <w:r>
        <w:rPr>
          <w:rFonts w:hint="eastAsia" w:ascii="宋体" w:hAnsi="宋体"/>
          <w:b/>
          <w:sz w:val="24"/>
          <w:szCs w:val="21"/>
        </w:rPr>
        <w:t>注：法定代表人授权委托书除装订在</w:t>
      </w:r>
      <w:r>
        <w:rPr>
          <w:rFonts w:hint="eastAsia" w:ascii="宋体" w:hAnsi="宋体"/>
          <w:b/>
          <w:bCs/>
          <w:sz w:val="24"/>
        </w:rPr>
        <w:t>谈判</w:t>
      </w:r>
      <w:r>
        <w:rPr>
          <w:rFonts w:hint="eastAsia" w:ascii="宋体" w:hAnsi="宋体"/>
          <w:b/>
          <w:sz w:val="24"/>
          <w:szCs w:val="21"/>
        </w:rPr>
        <w:t>响应文件外请单独准备一份原件，以便于开标时查验。（若法定代表人参与投标响应，则单独准备一份法定代表人身份证明原件）</w:t>
      </w:r>
    </w:p>
    <w:p>
      <w:pPr>
        <w:pStyle w:val="5"/>
        <w:numPr>
          <w:ilvl w:val="0"/>
          <w:numId w:val="0"/>
        </w:numPr>
        <w:spacing w:before="260" w:after="260" w:line="415" w:lineRule="auto"/>
        <w:ind w:leftChars="0"/>
        <w:jc w:val="both"/>
        <w:rPr>
          <w:rFonts w:hint="eastAsia" w:cs="宋体"/>
          <w:sz w:val="30"/>
          <w:szCs w:val="30"/>
          <w:lang w:val="en-US" w:eastAsia="zh-CN"/>
        </w:rPr>
      </w:pPr>
      <w:bookmarkStart w:id="86" w:name="_Toc11505"/>
    </w:p>
    <w:p>
      <w:pPr>
        <w:pStyle w:val="5"/>
        <w:numPr>
          <w:ilvl w:val="0"/>
          <w:numId w:val="0"/>
        </w:numPr>
        <w:spacing w:before="260" w:after="260" w:line="415" w:lineRule="auto"/>
        <w:ind w:leftChars="0" w:firstLine="3313" w:firstLineChars="1100"/>
        <w:jc w:val="both"/>
        <w:rPr>
          <w:rFonts w:hint="eastAsia" w:cs="宋体"/>
          <w:sz w:val="30"/>
          <w:szCs w:val="30"/>
          <w:lang w:val="en-US" w:eastAsia="zh-CN"/>
        </w:rPr>
      </w:pPr>
      <w:r>
        <w:rPr>
          <w:rFonts w:hint="eastAsia" w:cs="宋体"/>
          <w:sz w:val="30"/>
          <w:szCs w:val="30"/>
          <w:lang w:val="en-US" w:eastAsia="zh-CN"/>
        </w:rPr>
        <w:t>四</w:t>
      </w:r>
      <w:r>
        <w:rPr>
          <w:rFonts w:hint="eastAsia" w:cs="宋体"/>
          <w:sz w:val="30"/>
          <w:szCs w:val="30"/>
        </w:rPr>
        <w:t xml:space="preserve">  </w:t>
      </w:r>
      <w:r>
        <w:rPr>
          <w:rFonts w:hint="eastAsia" w:cs="宋体"/>
          <w:sz w:val="30"/>
          <w:szCs w:val="30"/>
          <w:lang w:val="en-US" w:eastAsia="zh-CN"/>
        </w:rPr>
        <w:t>资格性自查表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noWrap w:val="0"/>
            <w:vAlign w:val="center"/>
          </w:tcPr>
          <w:p>
            <w:pPr>
              <w:adjustRightInd w:val="0"/>
              <w:snapToGrid w:val="0"/>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序号</w:t>
            </w:r>
          </w:p>
        </w:tc>
        <w:tc>
          <w:tcPr>
            <w:tcW w:w="2115" w:type="dxa"/>
            <w:shd w:val="clear" w:color="auto" w:fill="BFBFBF"/>
            <w:noWrap w:val="0"/>
            <w:vAlign w:val="center"/>
          </w:tcPr>
          <w:p>
            <w:pPr>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资格要求</w:t>
            </w:r>
          </w:p>
        </w:tc>
        <w:tc>
          <w:tcPr>
            <w:tcW w:w="4815" w:type="dxa"/>
            <w:shd w:val="clear" w:color="auto" w:fill="BFBFBF"/>
            <w:noWrap w:val="0"/>
            <w:vAlign w:val="center"/>
          </w:tcPr>
          <w:p>
            <w:pPr>
              <w:widowControl/>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须提供的资料</w:t>
            </w:r>
          </w:p>
        </w:tc>
        <w:tc>
          <w:tcPr>
            <w:tcW w:w="698" w:type="dxa"/>
            <w:shd w:val="clear" w:color="auto" w:fill="BFBFBF"/>
            <w:noWrap w:val="0"/>
            <w:vAlign w:val="center"/>
          </w:tcPr>
          <w:p>
            <w:pPr>
              <w:widowControl/>
              <w:adjustRightInd w:val="0"/>
              <w:snapToGrid w:val="0"/>
              <w:spacing w:line="400" w:lineRule="exact"/>
              <w:jc w:val="center"/>
              <w:rPr>
                <w:rFonts w:hint="eastAsia" w:ascii="宋体" w:hAnsi="宋体" w:cs="宋体"/>
                <w:b/>
                <w:color w:val="auto"/>
                <w:kern w:val="0"/>
                <w:sz w:val="24"/>
                <w:szCs w:val="24"/>
              </w:rPr>
            </w:pPr>
            <w:r>
              <w:rPr>
                <w:rFonts w:hint="eastAsia" w:ascii="宋体" w:hAnsi="宋体" w:cs="宋体"/>
                <w:b/>
                <w:color w:val="auto"/>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noWrap w:val="0"/>
            <w:vAlign w:val="center"/>
          </w:tcPr>
          <w:p>
            <w:pPr>
              <w:spacing w:line="400" w:lineRule="exact"/>
              <w:jc w:val="center"/>
              <w:rPr>
                <w:rFonts w:hint="eastAsia" w:ascii="宋体" w:hAnsi="宋体" w:cs="宋体"/>
                <w:color w:val="auto"/>
                <w:sz w:val="24"/>
                <w:szCs w:val="24"/>
                <w:lang w:val="hr-HR"/>
              </w:rPr>
            </w:pPr>
            <w:r>
              <w:rPr>
                <w:rFonts w:hint="eastAsia" w:ascii="宋体" w:hAnsi="宋体" w:cs="宋体"/>
                <w:color w:val="auto"/>
                <w:sz w:val="24"/>
                <w:szCs w:val="24"/>
                <w:lang w:val="hr-HR"/>
              </w:rPr>
              <w:t>1</w:t>
            </w:r>
          </w:p>
        </w:tc>
        <w:tc>
          <w:tcPr>
            <w:tcW w:w="2115" w:type="dxa"/>
            <w:noWrap w:val="0"/>
            <w:vAlign w:val="center"/>
          </w:tcPr>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t>具有独立承担</w:t>
            </w:r>
          </w:p>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民事责任的能力</w:t>
            </w:r>
          </w:p>
        </w:tc>
        <w:tc>
          <w:tcPr>
            <w:tcW w:w="4815" w:type="dxa"/>
            <w:noWrap w:val="0"/>
            <w:vAlign w:val="center"/>
          </w:tcPr>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t>（1）供应商是企业（包括合伙企业），提供有效的营业执照。</w:t>
            </w:r>
          </w:p>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t>（2）供应商是事业单位，提供有效的事业单位法人证书。</w:t>
            </w:r>
          </w:p>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t>（3）供应商是非企业专业服务机构的，提供有效的执业许可证等证明文件。</w:t>
            </w:r>
          </w:p>
          <w:p>
            <w:pPr>
              <w:spacing w:line="400" w:lineRule="exact"/>
              <w:jc w:val="left"/>
              <w:rPr>
                <w:rFonts w:hint="eastAsia" w:ascii="宋体" w:hAnsi="宋体" w:cs="宋体"/>
                <w:color w:val="auto"/>
                <w:sz w:val="24"/>
                <w:szCs w:val="24"/>
              </w:rPr>
            </w:pPr>
            <w:r>
              <w:rPr>
                <w:rFonts w:hint="eastAsia" w:ascii="宋体" w:hAnsi="宋体" w:cs="宋体"/>
                <w:color w:val="auto"/>
                <w:sz w:val="24"/>
                <w:szCs w:val="24"/>
              </w:rPr>
              <w:t>（4）供应商是个体工商户，提供有效的个体工商户营业执照。</w:t>
            </w:r>
          </w:p>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（5）供应商是自然人，提供有效的自然人身份证明。</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noWrap w:val="0"/>
            <w:vAlign w:val="center"/>
          </w:tcPr>
          <w:p>
            <w:pPr>
              <w:widowControl/>
              <w:numPr>
                <w:ilvl w:val="0"/>
                <w:numId w:val="6"/>
              </w:numPr>
              <w:adjustRightInd w:val="0"/>
              <w:snapToGrid w:val="0"/>
              <w:spacing w:line="400" w:lineRule="exact"/>
              <w:jc w:val="center"/>
              <w:rPr>
                <w:rFonts w:hint="eastAsia" w:ascii="宋体" w:hAnsi="宋体" w:cs="宋体"/>
                <w:color w:val="auto"/>
                <w:kern w:val="0"/>
                <w:sz w:val="24"/>
                <w:szCs w:val="24"/>
              </w:rPr>
            </w:pP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具有良好的商业信誉和健全的财务会计制度</w:t>
            </w:r>
          </w:p>
        </w:tc>
        <w:tc>
          <w:tcPr>
            <w:tcW w:w="4815" w:type="dxa"/>
            <w:noWrap w:val="0"/>
            <w:vAlign w:val="center"/>
          </w:tcPr>
          <w:p>
            <w:pPr>
              <w:spacing w:line="400" w:lineRule="exact"/>
              <w:jc w:val="left"/>
              <w:rPr>
                <w:rFonts w:hint="eastAsia" w:ascii="宋体" w:hAnsi="宋体" w:cs="宋体"/>
                <w:color w:val="auto"/>
                <w:sz w:val="24"/>
                <w:szCs w:val="24"/>
                <w:highlight w:val="none"/>
                <w:lang w:val="hr-HR"/>
              </w:rPr>
            </w:pPr>
            <w:r>
              <w:rPr>
                <w:rFonts w:hint="eastAsia" w:ascii="宋体" w:hAnsi="宋体" w:cs="宋体"/>
                <w:color w:val="auto"/>
                <w:sz w:val="24"/>
                <w:szCs w:val="24"/>
                <w:highlight w:val="none"/>
                <w:lang w:val="hr-HR"/>
              </w:rPr>
              <w:t>由供应商提供</w:t>
            </w:r>
            <w:r>
              <w:rPr>
                <w:rFonts w:hint="eastAsia" w:ascii="宋体" w:hAnsi="宋体" w:cs="宋体"/>
                <w:color w:val="auto"/>
                <w:sz w:val="24"/>
                <w:szCs w:val="24"/>
                <w:highlight w:val="none"/>
              </w:rPr>
              <w:t>具有良好的商业信誉和健全的财务会计制度的</w:t>
            </w:r>
            <w:r>
              <w:rPr>
                <w:rFonts w:hint="eastAsia" w:ascii="宋体" w:hAnsi="宋体" w:cs="宋体"/>
                <w:b/>
                <w:bCs/>
                <w:color w:val="auto"/>
                <w:sz w:val="24"/>
                <w:szCs w:val="24"/>
                <w:highlight w:val="none"/>
                <w:lang w:val="hr-HR"/>
              </w:rPr>
              <w:t>书面承诺，或提供相应证明材料</w:t>
            </w:r>
            <w:r>
              <w:rPr>
                <w:rFonts w:hint="eastAsia" w:ascii="宋体" w:hAnsi="宋体" w:cs="宋体"/>
                <w:color w:val="auto"/>
                <w:sz w:val="24"/>
                <w:szCs w:val="24"/>
                <w:highlight w:val="none"/>
                <w:lang w:val="hr-HR"/>
              </w:rPr>
              <w:t>：</w:t>
            </w:r>
          </w:p>
          <w:p>
            <w:pPr>
              <w:spacing w:line="400" w:lineRule="exact"/>
              <w:jc w:val="left"/>
              <w:rPr>
                <w:rFonts w:hint="eastAsia" w:ascii="宋体" w:hAnsi="宋体" w:cs="宋体"/>
                <w:color w:val="auto"/>
                <w:sz w:val="24"/>
                <w:szCs w:val="24"/>
                <w:highlight w:val="none"/>
                <w:lang w:val="hr-HR"/>
              </w:rPr>
            </w:pPr>
            <w:r>
              <w:rPr>
                <w:rFonts w:hint="eastAsia" w:ascii="宋体" w:hAnsi="宋体" w:cs="宋体"/>
                <w:color w:val="auto"/>
                <w:sz w:val="24"/>
                <w:szCs w:val="24"/>
                <w:highlight w:val="none"/>
                <w:lang w:val="hr-HR"/>
              </w:rPr>
              <w:t>供应商应提供202</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hr-HR"/>
              </w:rPr>
              <w:t>年或202</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noWrap w:val="0"/>
            <w:vAlign w:val="center"/>
          </w:tcPr>
          <w:p>
            <w:pPr>
              <w:widowControl/>
              <w:numPr>
                <w:ilvl w:val="0"/>
                <w:numId w:val="6"/>
              </w:numPr>
              <w:adjustRightInd w:val="0"/>
              <w:snapToGrid w:val="0"/>
              <w:spacing w:line="400" w:lineRule="exact"/>
              <w:jc w:val="center"/>
              <w:rPr>
                <w:rFonts w:hint="eastAsia" w:ascii="宋体" w:hAnsi="宋体" w:cs="宋体"/>
                <w:color w:val="auto"/>
                <w:kern w:val="0"/>
                <w:sz w:val="24"/>
                <w:szCs w:val="24"/>
              </w:rPr>
            </w:pP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具有履行合同所必需的设备和专业技术能力</w:t>
            </w:r>
          </w:p>
        </w:tc>
        <w:tc>
          <w:tcPr>
            <w:tcW w:w="48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提供具备足够数量的设施设备及技术人员的证明材料或承诺。</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noWrap w:val="0"/>
            <w:vAlign w:val="center"/>
          </w:tcPr>
          <w:p>
            <w:pPr>
              <w:widowControl/>
              <w:numPr>
                <w:ilvl w:val="0"/>
                <w:numId w:val="6"/>
              </w:numPr>
              <w:adjustRightInd w:val="0"/>
              <w:snapToGrid w:val="0"/>
              <w:spacing w:line="400" w:lineRule="exact"/>
              <w:jc w:val="center"/>
              <w:rPr>
                <w:rFonts w:hint="eastAsia" w:ascii="宋体" w:hAnsi="宋体" w:cs="宋体"/>
                <w:color w:val="auto"/>
                <w:kern w:val="0"/>
                <w:sz w:val="24"/>
                <w:szCs w:val="24"/>
              </w:rPr>
            </w:pP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有依法缴纳税收和社会保障资金的良好记录</w:t>
            </w:r>
          </w:p>
        </w:tc>
        <w:tc>
          <w:tcPr>
            <w:tcW w:w="4815" w:type="dxa"/>
            <w:noWrap w:val="0"/>
            <w:vAlign w:val="center"/>
          </w:tcPr>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由供应商提供有依法缴纳税收和社会保障资金的良好记录的</w:t>
            </w:r>
            <w:r>
              <w:rPr>
                <w:rFonts w:hint="eastAsia" w:ascii="宋体" w:hAnsi="宋体" w:cs="宋体"/>
                <w:b/>
                <w:bCs/>
                <w:color w:val="auto"/>
                <w:sz w:val="24"/>
                <w:szCs w:val="24"/>
                <w:highlight w:val="none"/>
              </w:rPr>
              <w:t>书面承诺及声明，或提供相应证明材料</w:t>
            </w:r>
            <w:r>
              <w:rPr>
                <w:rFonts w:hint="eastAsia" w:ascii="宋体" w:hAnsi="宋体" w:cs="宋体"/>
                <w:color w:val="auto"/>
                <w:sz w:val="24"/>
                <w:szCs w:val="24"/>
                <w:highlight w:val="none"/>
              </w:rPr>
              <w:t>：</w:t>
            </w: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（1）供应商依法交纳税收的证明材料：本项目公告发布时间前6个月内（至少提供1个月）交纳税收的凭据（完税证、缴款书、印花税票、银行代扣（代缴）转账凭证等均可）；</w:t>
            </w: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（2）供应商依法交纳社会保障资金的证明材料：本项目公告发布时间前6个月内（至少提供1个月）交纳社会保险的凭据（专用收据或社会保险交纳清单）；</w:t>
            </w:r>
          </w:p>
          <w:p>
            <w:pPr>
              <w:spacing w:line="40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（3）供应商为其他组织或自然人的，也需要按此项规定提供交纳税收的凭据和交纳社会保险的凭据；</w:t>
            </w:r>
          </w:p>
          <w:p>
            <w:pPr>
              <w:spacing w:line="400" w:lineRule="exact"/>
              <w:jc w:val="left"/>
              <w:rPr>
                <w:rFonts w:hint="eastAsia" w:ascii="宋体" w:hAnsi="宋体" w:cs="宋体"/>
                <w:color w:val="auto"/>
                <w:sz w:val="24"/>
                <w:szCs w:val="24"/>
                <w:highlight w:val="none"/>
                <w:lang w:val="hr-HR"/>
              </w:rPr>
            </w:pPr>
            <w:r>
              <w:rPr>
                <w:rFonts w:hint="eastAsia" w:ascii="宋体" w:hAnsi="宋体" w:cs="宋体"/>
                <w:color w:val="auto"/>
                <w:sz w:val="24"/>
                <w:szCs w:val="24"/>
                <w:highlight w:val="none"/>
              </w:rPr>
              <w:t>（4）依法免税或不需要交纳社会保障资金的供应商，应提供相应文件证明其依法免税或不需要交纳社会保障资金。</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noWrap w:val="0"/>
            <w:vAlign w:val="center"/>
          </w:tcPr>
          <w:p>
            <w:pPr>
              <w:widowControl/>
              <w:numPr>
                <w:ilvl w:val="0"/>
                <w:numId w:val="6"/>
              </w:numPr>
              <w:adjustRightInd w:val="0"/>
              <w:snapToGrid w:val="0"/>
              <w:spacing w:line="400" w:lineRule="exact"/>
              <w:jc w:val="center"/>
              <w:rPr>
                <w:rFonts w:hint="eastAsia" w:ascii="宋体" w:hAnsi="宋体" w:cs="宋体"/>
                <w:color w:val="auto"/>
                <w:kern w:val="0"/>
                <w:sz w:val="24"/>
                <w:szCs w:val="24"/>
              </w:rPr>
            </w:pP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参加政府采购活动前三年内，在经营活动中没有重大违法记录</w:t>
            </w:r>
          </w:p>
        </w:tc>
        <w:tc>
          <w:tcPr>
            <w:tcW w:w="4815" w:type="dxa"/>
            <w:noWrap w:val="0"/>
            <w:vAlign w:val="center"/>
          </w:tcPr>
          <w:p>
            <w:pPr>
              <w:spacing w:line="400" w:lineRule="exact"/>
              <w:rPr>
                <w:rFonts w:hint="eastAsia" w:ascii="宋体" w:hAnsi="宋体" w:cs="宋体"/>
                <w:color w:val="auto"/>
                <w:sz w:val="24"/>
                <w:szCs w:val="24"/>
                <w:lang w:val="hr-HR"/>
              </w:rPr>
            </w:pPr>
            <w:r>
              <w:rPr>
                <w:rFonts w:hint="eastAsia" w:ascii="宋体" w:hAnsi="宋体" w:cs="宋体"/>
                <w:color w:val="auto"/>
                <w:sz w:val="24"/>
                <w:szCs w:val="24"/>
              </w:rPr>
              <w:t>根据相关法规规定，提交书面声明。</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noWrap w:val="0"/>
            <w:vAlign w:val="center"/>
          </w:tcPr>
          <w:p>
            <w:pPr>
              <w:widowControl/>
              <w:numPr>
                <w:ilvl w:val="0"/>
                <w:numId w:val="6"/>
              </w:numPr>
              <w:adjustRightInd w:val="0"/>
              <w:snapToGrid w:val="0"/>
              <w:spacing w:line="400" w:lineRule="exact"/>
              <w:jc w:val="center"/>
              <w:rPr>
                <w:rFonts w:hint="eastAsia" w:ascii="宋体" w:hAnsi="宋体" w:cs="宋体"/>
                <w:color w:val="auto"/>
                <w:kern w:val="0"/>
                <w:sz w:val="24"/>
                <w:szCs w:val="24"/>
              </w:rPr>
            </w:pP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法律、行政法规规定的其他条件</w:t>
            </w:r>
          </w:p>
        </w:tc>
        <w:tc>
          <w:tcPr>
            <w:tcW w:w="48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lang w:val="hr-HR"/>
              </w:rPr>
              <w:t>具备法律、行政法规规定的其他条件的证明材料。</w:t>
            </w:r>
          </w:p>
        </w:tc>
        <w:tc>
          <w:tcPr>
            <w:tcW w:w="698" w:type="dxa"/>
            <w:noWrap w:val="0"/>
            <w:vAlign w:val="center"/>
          </w:tcPr>
          <w:p>
            <w:pPr>
              <w:widowControl/>
              <w:adjustRightInd w:val="0"/>
              <w:snapToGrid w:val="0"/>
              <w:spacing w:line="400" w:lineRule="exact"/>
              <w:jc w:val="center"/>
              <w:rPr>
                <w:rFonts w:hint="eastAsia" w:ascii="宋体" w:hAnsi="宋体" w:cs="宋体"/>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noWrap w:val="0"/>
            <w:vAlign w:val="center"/>
          </w:tcPr>
          <w:p>
            <w:pPr>
              <w:spacing w:line="400" w:lineRule="exact"/>
              <w:jc w:val="center"/>
              <w:rPr>
                <w:rFonts w:hint="eastAsia" w:ascii="宋体" w:hAnsi="宋体" w:cs="宋体"/>
                <w:color w:val="auto"/>
                <w:sz w:val="24"/>
                <w:szCs w:val="24"/>
                <w:lang w:val="hr-HR"/>
              </w:rPr>
            </w:pPr>
            <w:r>
              <w:rPr>
                <w:rFonts w:hint="eastAsia" w:ascii="宋体" w:hAnsi="宋体" w:cs="宋体"/>
                <w:color w:val="auto"/>
                <w:sz w:val="24"/>
                <w:szCs w:val="24"/>
              </w:rPr>
              <w:t>4</w:t>
            </w: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未被列入失信被执行人、重大税收违法失信主体，未被列入政府采购严重违法失信行为记录名单</w:t>
            </w:r>
          </w:p>
        </w:tc>
        <w:tc>
          <w:tcPr>
            <w:tcW w:w="48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color w:val="auto"/>
                <w:sz w:val="24"/>
                <w:szCs w:val="24"/>
              </w:rPr>
              <w:t>磋商</w:t>
            </w:r>
            <w:r>
              <w:rPr>
                <w:rFonts w:hint="eastAsia" w:ascii="宋体" w:hAnsi="宋体" w:cs="宋体"/>
                <w:color w:val="auto"/>
                <w:sz w:val="24"/>
                <w:szCs w:val="24"/>
                <w:lang w:val="hr-HR"/>
              </w:rPr>
              <w:t>当日代理机构查询结果为准。</w:t>
            </w:r>
          </w:p>
        </w:tc>
        <w:tc>
          <w:tcPr>
            <w:tcW w:w="698" w:type="dxa"/>
            <w:noWrap w:val="0"/>
            <w:vAlign w:val="center"/>
          </w:tcPr>
          <w:p>
            <w:pPr>
              <w:widowControl/>
              <w:adjustRightInd w:val="0"/>
              <w:snapToGrid w:val="0"/>
              <w:spacing w:line="400" w:lineRule="exact"/>
              <w:jc w:val="center"/>
              <w:rPr>
                <w:rFonts w:hint="eastAsia" w:ascii="宋体" w:hAnsi="宋体" w:cs="宋体"/>
                <w:b/>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5</w:t>
            </w: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z w:val="24"/>
                <w:szCs w:val="24"/>
              </w:rPr>
              <w:t>单位负责人为同一人或者存在直接控股、管理关系的不同投标人，不得参加本项目同一合同项下的采购活动</w:t>
            </w:r>
          </w:p>
        </w:tc>
        <w:tc>
          <w:tcPr>
            <w:tcW w:w="4815" w:type="dxa"/>
            <w:noWrap w:val="0"/>
            <w:vAlign w:val="center"/>
          </w:tcPr>
          <w:p>
            <w:pPr>
              <w:spacing w:line="400" w:lineRule="exact"/>
              <w:rPr>
                <w:rFonts w:hint="eastAsia" w:ascii="宋体" w:hAnsi="宋体" w:cs="宋体"/>
                <w:color w:val="auto"/>
                <w:sz w:val="24"/>
                <w:szCs w:val="24"/>
                <w:lang w:val="hr-HR"/>
              </w:rPr>
            </w:pPr>
            <w:r>
              <w:rPr>
                <w:rFonts w:hint="eastAsia" w:ascii="宋体" w:hAnsi="宋体" w:cs="宋体"/>
                <w:color w:val="auto"/>
                <w:sz w:val="24"/>
                <w:szCs w:val="24"/>
              </w:rPr>
              <w:t>根据相关法规规定，提交书面声明。</w:t>
            </w:r>
          </w:p>
        </w:tc>
        <w:tc>
          <w:tcPr>
            <w:tcW w:w="698" w:type="dxa"/>
            <w:noWrap w:val="0"/>
            <w:vAlign w:val="center"/>
          </w:tcPr>
          <w:p>
            <w:pPr>
              <w:widowControl/>
              <w:adjustRightInd w:val="0"/>
              <w:snapToGrid w:val="0"/>
              <w:spacing w:line="400" w:lineRule="exact"/>
              <w:jc w:val="center"/>
              <w:rPr>
                <w:rFonts w:hint="eastAsia" w:ascii="宋体" w:hAnsi="宋体" w:cs="宋体"/>
                <w:b/>
                <w:color w:val="auto"/>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noWrap w:val="0"/>
            <w:vAlign w:val="center"/>
          </w:tcPr>
          <w:p>
            <w:pPr>
              <w:spacing w:line="400" w:lineRule="exact"/>
              <w:jc w:val="center"/>
              <w:rPr>
                <w:rFonts w:hint="eastAsia" w:ascii="宋体" w:hAnsi="宋体" w:cs="宋体"/>
                <w:color w:val="auto"/>
                <w:sz w:val="24"/>
                <w:szCs w:val="24"/>
              </w:rPr>
            </w:pPr>
            <w:r>
              <w:rPr>
                <w:rFonts w:hint="eastAsia" w:ascii="宋体" w:hAnsi="宋体" w:cs="宋体"/>
                <w:color w:val="auto"/>
                <w:sz w:val="24"/>
                <w:szCs w:val="24"/>
              </w:rPr>
              <w:t>6</w:t>
            </w:r>
          </w:p>
        </w:tc>
        <w:tc>
          <w:tcPr>
            <w:tcW w:w="2115" w:type="dxa"/>
            <w:noWrap w:val="0"/>
            <w:vAlign w:val="center"/>
          </w:tcPr>
          <w:p>
            <w:pPr>
              <w:spacing w:line="400" w:lineRule="exact"/>
              <w:jc w:val="left"/>
              <w:rPr>
                <w:rFonts w:hint="eastAsia" w:ascii="宋体" w:hAnsi="宋体" w:cs="宋体"/>
                <w:color w:val="auto"/>
                <w:sz w:val="24"/>
                <w:szCs w:val="24"/>
                <w:lang w:val="hr-HR"/>
              </w:rPr>
            </w:pPr>
            <w:r>
              <w:rPr>
                <w:rFonts w:hint="eastAsia" w:ascii="宋体" w:hAnsi="宋体" w:cs="宋体"/>
                <w:color w:val="auto"/>
                <w:spacing w:val="-6"/>
                <w:sz w:val="24"/>
                <w:szCs w:val="24"/>
              </w:rPr>
              <w:t>为本采购项目提供整体设计、规范编制或者项目管理、监理、检测等服务的，不得再参加本项目的其他招标采购活动</w:t>
            </w:r>
          </w:p>
        </w:tc>
        <w:tc>
          <w:tcPr>
            <w:tcW w:w="4815" w:type="dxa"/>
            <w:noWrap w:val="0"/>
            <w:vAlign w:val="center"/>
          </w:tcPr>
          <w:p>
            <w:pPr>
              <w:spacing w:line="400" w:lineRule="exact"/>
              <w:rPr>
                <w:rFonts w:hint="eastAsia" w:ascii="宋体" w:hAnsi="宋体" w:cs="宋体"/>
                <w:color w:val="auto"/>
                <w:sz w:val="24"/>
                <w:szCs w:val="24"/>
                <w:lang w:val="hr-HR"/>
              </w:rPr>
            </w:pPr>
            <w:r>
              <w:rPr>
                <w:rFonts w:hint="eastAsia" w:ascii="宋体" w:hAnsi="宋体" w:cs="宋体"/>
                <w:color w:val="auto"/>
                <w:sz w:val="24"/>
                <w:szCs w:val="24"/>
              </w:rPr>
              <w:t>根据相关法规规定，提交书面声明。</w:t>
            </w:r>
          </w:p>
        </w:tc>
        <w:tc>
          <w:tcPr>
            <w:tcW w:w="698" w:type="dxa"/>
            <w:noWrap w:val="0"/>
            <w:vAlign w:val="center"/>
          </w:tcPr>
          <w:p>
            <w:pPr>
              <w:widowControl/>
              <w:adjustRightInd w:val="0"/>
              <w:snapToGrid w:val="0"/>
              <w:spacing w:line="400" w:lineRule="exact"/>
              <w:jc w:val="center"/>
              <w:rPr>
                <w:rFonts w:hint="eastAsia" w:ascii="宋体" w:hAnsi="宋体" w:cs="宋体"/>
                <w:b/>
                <w:color w:val="auto"/>
                <w:sz w:val="24"/>
                <w:szCs w:val="24"/>
                <w:lang w:val="hr-HR"/>
              </w:rPr>
            </w:pPr>
          </w:p>
        </w:tc>
      </w:tr>
    </w:tbl>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注：</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（2）对于响应文件中有任意一条不满足上表要求的将视为无效响应，不进入下一项评审。</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（3）响应文件必须编制页码，并按照资格审查表的内容填写响应文件中对应的页码，方便查找。</w:t>
      </w:r>
    </w:p>
    <w:bookmarkEnd w:id="86"/>
    <w:p>
      <w:pPr>
        <w:jc w:val="both"/>
        <w:rPr>
          <w:rFonts w:hint="eastAsia"/>
          <w:b/>
          <w:sz w:val="36"/>
        </w:rPr>
      </w:pPr>
    </w:p>
    <w:p>
      <w:pPr>
        <w:jc w:val="center"/>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pStyle w:val="2"/>
        <w:rPr>
          <w:rFonts w:hint="eastAsia"/>
          <w:b/>
          <w:sz w:val="36"/>
        </w:rPr>
      </w:pPr>
    </w:p>
    <w:p>
      <w:pPr>
        <w:jc w:val="center"/>
        <w:rPr>
          <w:b/>
          <w:sz w:val="30"/>
          <w:szCs w:val="30"/>
        </w:rPr>
      </w:pPr>
      <w:r>
        <w:rPr>
          <w:rFonts w:hint="eastAsia"/>
          <w:b/>
          <w:sz w:val="30"/>
          <w:szCs w:val="30"/>
        </w:rPr>
        <w:t>五、响应报价表</w:t>
      </w:r>
    </w:p>
    <w:p>
      <w:pPr>
        <w:jc w:val="center"/>
        <w:rPr>
          <w:sz w:val="28"/>
        </w:rPr>
      </w:pPr>
      <w:r>
        <w:rPr>
          <w:rFonts w:hint="eastAsia"/>
          <w:sz w:val="28"/>
        </w:rPr>
        <w:t>（首次报价）</w:t>
      </w:r>
    </w:p>
    <w:p>
      <w:pPr>
        <w:rPr>
          <w:rFonts w:hint="eastAsia"/>
          <w:sz w:val="28"/>
        </w:rPr>
      </w:pPr>
      <w:r>
        <w:rPr>
          <w:rFonts w:hint="eastAsia"/>
          <w:sz w:val="28"/>
        </w:rPr>
        <w:t>采购单位：</w:t>
      </w:r>
      <w:r>
        <w:rPr>
          <w:rFonts w:hint="eastAsia" w:ascii="宋体" w:hAnsi="宋体" w:eastAsia="宋体" w:cs="宋体"/>
          <w:b w:val="0"/>
          <w:bCs w:val="0"/>
          <w:i w:val="0"/>
          <w:iCs w:val="0"/>
          <w:color w:val="000000"/>
          <w:kern w:val="0"/>
          <w:sz w:val="28"/>
          <w:szCs w:val="28"/>
          <w:u w:val="single"/>
          <w:lang w:val="en-US" w:eastAsia="zh-CN" w:bidi="ar"/>
        </w:rPr>
        <w:t>黄石市</w:t>
      </w:r>
      <w:r>
        <w:rPr>
          <w:rFonts w:hint="eastAsia"/>
          <w:sz w:val="28"/>
          <w:szCs w:val="28"/>
        </w:rPr>
        <w:t>市中</w:t>
      </w:r>
      <w:r>
        <w:rPr>
          <w:rFonts w:hint="eastAsia"/>
          <w:sz w:val="28"/>
        </w:rPr>
        <w:t>心医院</w:t>
      </w:r>
    </w:p>
    <w:tbl>
      <w:tblPr>
        <w:tblStyle w:val="15"/>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cr/>
            </w:r>
            <w:r>
              <w:rPr>
                <w:rFonts w:hint="eastAsia"/>
                <w:sz w:val="28"/>
              </w:rPr>
              <w:t>项目名称</w:t>
            </w:r>
          </w:p>
        </w:tc>
        <w:tc>
          <w:tcPr>
            <w:tcW w:w="6828" w:type="dxa"/>
            <w:noWrap w:val="0"/>
            <w:vAlign w:val="center"/>
          </w:tcPr>
          <w:p>
            <w:pPr>
              <w:spacing w:line="400" w:lineRule="exact"/>
              <w:jc w:val="left"/>
              <w:rPr>
                <w:rFonts w:hint="eastAsia"/>
                <w:sz w:val="28"/>
              </w:rPr>
            </w:pPr>
            <w:r>
              <w:rPr>
                <w:rFonts w:hint="eastAsia" w:ascii="宋体" w:hAnsi="宋体" w:eastAsia="宋体" w:cs="宋体"/>
                <w:b w:val="0"/>
                <w:bCs w:val="0"/>
                <w:i w:val="0"/>
                <w:iCs w:val="0"/>
                <w:color w:val="000000"/>
                <w:kern w:val="0"/>
                <w:sz w:val="28"/>
                <w:szCs w:val="28"/>
                <w:u w:val="none"/>
                <w:lang w:val="en-US" w:eastAsia="zh-CN" w:bidi="ar"/>
              </w:rPr>
              <w:t>黄石市</w:t>
            </w:r>
            <w:r>
              <w:rPr>
                <w:rFonts w:hint="eastAsia"/>
                <w:sz w:val="28"/>
                <w:szCs w:val="28"/>
                <w:u w:val="none"/>
              </w:rPr>
              <w:t>中心医院（黄金山院</w:t>
            </w:r>
            <w:r>
              <w:rPr>
                <w:rFonts w:hint="eastAsia"/>
                <w:b w:val="0"/>
                <w:bCs w:val="0"/>
                <w:sz w:val="28"/>
                <w:szCs w:val="28"/>
                <w:u w:val="none"/>
              </w:rPr>
              <w:t>区）</w:t>
            </w:r>
            <w:r>
              <w:rPr>
                <w:rFonts w:hint="eastAsia" w:ascii="宋体" w:hAnsi="宋体" w:eastAsia="宋体" w:cs="宋体"/>
                <w:b w:val="0"/>
                <w:bCs w:val="0"/>
                <w:i w:val="0"/>
                <w:iCs w:val="0"/>
                <w:color w:val="000000"/>
                <w:kern w:val="0"/>
                <w:sz w:val="28"/>
                <w:szCs w:val="28"/>
                <w:u w:val="none"/>
                <w:lang w:val="en-US" w:eastAsia="zh-CN" w:bidi="ar"/>
              </w:rPr>
              <w:t>新增加</w:t>
            </w:r>
            <w:r>
              <w:rPr>
                <w:rFonts w:hint="eastAsia" w:ascii="宋体" w:hAnsi="宋体" w:eastAsia="宋体" w:cs="宋体"/>
                <w:b w:val="0"/>
                <w:bCs w:val="0"/>
                <w:i w:val="0"/>
                <w:iCs w:val="0"/>
                <w:color w:val="000000"/>
                <w:kern w:val="0"/>
                <w:sz w:val="24"/>
                <w:szCs w:val="24"/>
                <w:u w:val="none"/>
                <w:lang w:val="en-US" w:eastAsia="zh-CN" w:bidi="ar"/>
              </w:rPr>
              <w:t>窗帘采购</w:t>
            </w:r>
            <w:r>
              <w:rPr>
                <w:rFonts w:hint="eastAsia" w:ascii="宋体" w:hAnsi="宋体"/>
                <w:b w:val="0"/>
                <w:bCs w:val="0"/>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t>项目编号</w:t>
            </w:r>
          </w:p>
        </w:tc>
        <w:tc>
          <w:tcPr>
            <w:tcW w:w="6828" w:type="dxa"/>
            <w:noWrap w:val="0"/>
            <w:vAlign w:val="center"/>
          </w:tcPr>
          <w:p>
            <w:pPr>
              <w:spacing w:line="40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rFonts w:hint="eastAsia"/>
                <w:sz w:val="28"/>
              </w:rPr>
            </w:pPr>
            <w:r>
              <w:rPr>
                <w:rFonts w:hint="eastAsia"/>
                <w:sz w:val="28"/>
              </w:rPr>
              <w:t>交货期</w:t>
            </w:r>
          </w:p>
        </w:tc>
        <w:tc>
          <w:tcPr>
            <w:tcW w:w="6828" w:type="dxa"/>
            <w:noWrap w:val="0"/>
            <w:vAlign w:val="center"/>
          </w:tcPr>
          <w:p>
            <w:pPr>
              <w:spacing w:line="400" w:lineRule="exact"/>
              <w:jc w:val="left"/>
              <w:rPr>
                <w:rFonts w:hint="eastAsia"/>
                <w:sz w:val="28"/>
              </w:rPr>
            </w:pPr>
            <w:r>
              <w:rPr>
                <w:rFonts w:hint="eastAsia"/>
                <w:sz w:val="28"/>
              </w:rPr>
              <w:t>自合同签订之日起  日历天内完成货物的安装及交付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rFonts w:hint="eastAsia"/>
                <w:sz w:val="28"/>
              </w:rPr>
            </w:pPr>
            <w:r>
              <w:rPr>
                <w:rFonts w:hint="eastAsia"/>
                <w:sz w:val="28"/>
              </w:rPr>
              <w:t>保修期</w:t>
            </w:r>
          </w:p>
        </w:tc>
        <w:tc>
          <w:tcPr>
            <w:tcW w:w="6828" w:type="dxa"/>
            <w:noWrap w:val="0"/>
            <w:vAlign w:val="center"/>
          </w:tcPr>
          <w:p>
            <w:pPr>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t>响应总报价</w:t>
            </w:r>
          </w:p>
        </w:tc>
        <w:tc>
          <w:tcPr>
            <w:tcW w:w="6828" w:type="dxa"/>
            <w:noWrap w:val="0"/>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u w:val="single"/>
              </w:rPr>
            </w:pPr>
            <w:r>
              <w:rPr>
                <w:rFonts w:hint="eastAsia"/>
                <w:sz w:val="28"/>
              </w:rPr>
              <w:t>人民币（大写）：</w:t>
            </w:r>
            <w:r>
              <w:rPr>
                <w:rFonts w:hint="eastAsia"/>
                <w:sz w:val="28"/>
                <w:u w:val="single"/>
              </w:rPr>
              <w:t xml:space="preserve">                   </w:t>
            </w: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jc w:val="left"/>
        <w:rPr>
          <w:b/>
          <w:sz w:val="24"/>
        </w:rPr>
      </w:pPr>
      <w:r>
        <w:rPr>
          <w:rFonts w:hint="eastAsia"/>
          <w:b/>
          <w:sz w:val="24"/>
        </w:rPr>
        <w:t>注：1、响应报价总计为采购费用与其他费用的合成总计；包括货物制造、检验、安装、合理利润、税金、售后服务以及招标代理费等后续服务引起的一切相关费用。</w:t>
      </w:r>
    </w:p>
    <w:p>
      <w:pPr>
        <w:spacing w:line="400" w:lineRule="exact"/>
        <w:jc w:val="left"/>
        <w:rPr>
          <w:b/>
          <w:sz w:val="24"/>
        </w:rPr>
      </w:pPr>
      <w:r>
        <w:rPr>
          <w:rFonts w:hint="eastAsia"/>
          <w:b/>
          <w:sz w:val="24"/>
        </w:rPr>
        <w:t>2、该表还应用纸信封单独密封，在投标截止时间以前单独递交。信封上应写明采购人名称、项目名称、磋商供应商名称。</w:t>
      </w:r>
    </w:p>
    <w:p>
      <w:pPr>
        <w:spacing w:line="400" w:lineRule="exact"/>
        <w:jc w:val="left"/>
        <w:rPr>
          <w:b/>
          <w:sz w:val="24"/>
        </w:rPr>
      </w:pPr>
      <w:r>
        <w:rPr>
          <w:rFonts w:hint="eastAsia"/>
          <w:b/>
          <w:sz w:val="24"/>
        </w:rPr>
        <w:t>3、开标一览表格式不得自行改动。</w:t>
      </w:r>
    </w:p>
    <w:p>
      <w:pPr>
        <w:spacing w:line="400" w:lineRule="exact"/>
        <w:rPr>
          <w:rFonts w:hint="eastAsia"/>
          <w:sz w:val="24"/>
        </w:rPr>
      </w:pPr>
      <w:r>
        <w:rPr>
          <w:rFonts w:hint="eastAsia"/>
          <w:b/>
          <w:sz w:val="24"/>
        </w:rPr>
        <w:t>4、该表供首次报价时使用，谈判供应商须按规定的格式填写，该表内填写的数据等内容须与谈判供应商的投标文件的内容相一致，否则，评标时以谈判供应商的投标文件的正本为准。</w:t>
      </w: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rFonts w:hint="eastAsia"/>
          <w:b/>
          <w:sz w:val="36"/>
        </w:rPr>
      </w:pPr>
    </w:p>
    <w:p>
      <w:pPr>
        <w:spacing w:line="400" w:lineRule="exact"/>
        <w:jc w:val="center"/>
        <w:rPr>
          <w:b/>
          <w:sz w:val="30"/>
          <w:szCs w:val="30"/>
        </w:rPr>
      </w:pPr>
      <w:r>
        <w:rPr>
          <w:rFonts w:hint="eastAsia"/>
          <w:b/>
          <w:sz w:val="30"/>
          <w:szCs w:val="30"/>
        </w:rPr>
        <w:t>响应报价表</w:t>
      </w:r>
    </w:p>
    <w:p>
      <w:pPr>
        <w:jc w:val="center"/>
        <w:rPr>
          <w:sz w:val="28"/>
        </w:rPr>
      </w:pPr>
      <w:r>
        <w:rPr>
          <w:rFonts w:hint="eastAsia"/>
          <w:sz w:val="28"/>
        </w:rPr>
        <w:t>（最终报价）</w:t>
      </w:r>
    </w:p>
    <w:p>
      <w:pPr>
        <w:rPr>
          <w:rFonts w:hint="eastAsia"/>
          <w:sz w:val="28"/>
        </w:rPr>
      </w:pPr>
      <w:r>
        <w:rPr>
          <w:rFonts w:hint="eastAsia"/>
          <w:sz w:val="28"/>
        </w:rPr>
        <w:t>采购单位：</w:t>
      </w:r>
      <w:r>
        <w:rPr>
          <w:rFonts w:hint="eastAsia" w:ascii="宋体" w:hAnsi="宋体" w:eastAsia="宋体" w:cs="宋体"/>
          <w:b w:val="0"/>
          <w:bCs w:val="0"/>
          <w:i w:val="0"/>
          <w:iCs w:val="0"/>
          <w:color w:val="000000"/>
          <w:kern w:val="0"/>
          <w:sz w:val="28"/>
          <w:szCs w:val="28"/>
          <w:u w:val="none"/>
          <w:lang w:val="en-US" w:eastAsia="zh-CN" w:bidi="ar"/>
        </w:rPr>
        <w:t>黄石</w:t>
      </w:r>
      <w:r>
        <w:rPr>
          <w:rFonts w:hint="eastAsia"/>
          <w:sz w:val="28"/>
        </w:rPr>
        <w:t>市中心医院</w:t>
      </w:r>
    </w:p>
    <w:tbl>
      <w:tblPr>
        <w:tblStyle w:val="15"/>
        <w:tblW w:w="8607"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cr/>
            </w:r>
            <w:r>
              <w:rPr>
                <w:rFonts w:hint="eastAsia"/>
                <w:sz w:val="28"/>
              </w:rPr>
              <w:t>项目名称</w:t>
            </w:r>
          </w:p>
        </w:tc>
        <w:tc>
          <w:tcPr>
            <w:tcW w:w="6828" w:type="dxa"/>
            <w:noWrap w:val="0"/>
            <w:vAlign w:val="center"/>
          </w:tcPr>
          <w:p>
            <w:pPr>
              <w:spacing w:line="400" w:lineRule="exact"/>
              <w:jc w:val="left"/>
              <w:rPr>
                <w:rFonts w:hint="eastAsia"/>
                <w:sz w:val="28"/>
              </w:rPr>
            </w:pPr>
            <w:r>
              <w:rPr>
                <w:rFonts w:hint="eastAsia" w:ascii="宋体" w:hAnsi="宋体" w:eastAsia="宋体" w:cs="宋体"/>
                <w:b w:val="0"/>
                <w:bCs w:val="0"/>
                <w:i w:val="0"/>
                <w:iCs w:val="0"/>
                <w:color w:val="000000"/>
                <w:kern w:val="0"/>
                <w:sz w:val="28"/>
                <w:szCs w:val="28"/>
                <w:u w:val="none"/>
                <w:lang w:val="en-US" w:eastAsia="zh-CN" w:bidi="ar"/>
              </w:rPr>
              <w:t>黄石市</w:t>
            </w:r>
            <w:r>
              <w:rPr>
                <w:rFonts w:hint="eastAsia"/>
                <w:sz w:val="28"/>
                <w:szCs w:val="28"/>
                <w:u w:val="none"/>
              </w:rPr>
              <w:t>中心医院（黄金山院</w:t>
            </w:r>
            <w:r>
              <w:rPr>
                <w:rFonts w:hint="eastAsia"/>
                <w:b w:val="0"/>
                <w:bCs w:val="0"/>
                <w:sz w:val="28"/>
                <w:szCs w:val="28"/>
                <w:u w:val="none"/>
              </w:rPr>
              <w:t>区）</w:t>
            </w:r>
            <w:r>
              <w:rPr>
                <w:rFonts w:hint="eastAsia" w:ascii="宋体" w:hAnsi="宋体" w:eastAsia="宋体" w:cs="宋体"/>
                <w:b w:val="0"/>
                <w:bCs w:val="0"/>
                <w:i w:val="0"/>
                <w:iCs w:val="0"/>
                <w:color w:val="000000"/>
                <w:kern w:val="0"/>
                <w:sz w:val="28"/>
                <w:szCs w:val="28"/>
                <w:u w:val="none"/>
                <w:lang w:val="en-US" w:eastAsia="zh-CN" w:bidi="ar"/>
              </w:rPr>
              <w:t>新增加</w:t>
            </w:r>
            <w:r>
              <w:rPr>
                <w:rFonts w:hint="eastAsia" w:ascii="宋体" w:hAnsi="宋体" w:eastAsia="宋体" w:cs="宋体"/>
                <w:b w:val="0"/>
                <w:bCs w:val="0"/>
                <w:i w:val="0"/>
                <w:iCs w:val="0"/>
                <w:color w:val="000000"/>
                <w:kern w:val="0"/>
                <w:sz w:val="24"/>
                <w:szCs w:val="24"/>
                <w:u w:val="none"/>
                <w:lang w:val="en-US" w:eastAsia="zh-CN" w:bidi="ar"/>
              </w:rPr>
              <w:t>窗帘采购</w:t>
            </w:r>
            <w:r>
              <w:rPr>
                <w:rFonts w:hint="eastAsia" w:ascii="宋体" w:hAnsi="宋体"/>
                <w:b w:val="0"/>
                <w:bCs w:val="0"/>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t>项目编号</w:t>
            </w:r>
          </w:p>
        </w:tc>
        <w:tc>
          <w:tcPr>
            <w:tcW w:w="6828" w:type="dxa"/>
            <w:noWrap w:val="0"/>
            <w:vAlign w:val="center"/>
          </w:tcPr>
          <w:p>
            <w:pPr>
              <w:spacing w:line="400" w:lineRule="exact"/>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rFonts w:hint="eastAsia"/>
                <w:sz w:val="28"/>
              </w:rPr>
            </w:pPr>
            <w:r>
              <w:rPr>
                <w:rFonts w:hint="eastAsia"/>
                <w:sz w:val="28"/>
              </w:rPr>
              <w:t>交货期</w:t>
            </w:r>
          </w:p>
        </w:tc>
        <w:tc>
          <w:tcPr>
            <w:tcW w:w="6828" w:type="dxa"/>
            <w:noWrap w:val="0"/>
            <w:vAlign w:val="center"/>
          </w:tcPr>
          <w:p>
            <w:pPr>
              <w:spacing w:line="400" w:lineRule="exact"/>
              <w:jc w:val="left"/>
              <w:rPr>
                <w:rFonts w:hint="eastAsia"/>
                <w:sz w:val="28"/>
              </w:rPr>
            </w:pPr>
            <w:r>
              <w:rPr>
                <w:rFonts w:hint="eastAsia"/>
                <w:sz w:val="28"/>
              </w:rPr>
              <w:t>自合同签订之日起  日历天内完成货物的安装及交付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rFonts w:hint="eastAsia"/>
                <w:sz w:val="28"/>
              </w:rPr>
            </w:pPr>
            <w:r>
              <w:rPr>
                <w:rFonts w:hint="eastAsia"/>
                <w:sz w:val="28"/>
              </w:rPr>
              <w:t>保修期</w:t>
            </w:r>
          </w:p>
        </w:tc>
        <w:tc>
          <w:tcPr>
            <w:tcW w:w="6828" w:type="dxa"/>
            <w:noWrap w:val="0"/>
            <w:vAlign w:val="center"/>
          </w:tcPr>
          <w:p>
            <w:pPr>
              <w:jc w:val="lef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79" w:type="dxa"/>
            <w:noWrap w:val="0"/>
            <w:vAlign w:val="center"/>
          </w:tcPr>
          <w:p>
            <w:pPr>
              <w:ind w:left="8"/>
              <w:jc w:val="center"/>
              <w:rPr>
                <w:sz w:val="28"/>
              </w:rPr>
            </w:pPr>
            <w:r>
              <w:rPr>
                <w:rFonts w:hint="eastAsia"/>
                <w:sz w:val="28"/>
              </w:rPr>
              <w:t>响应总报价</w:t>
            </w:r>
          </w:p>
        </w:tc>
        <w:tc>
          <w:tcPr>
            <w:tcW w:w="6828" w:type="dxa"/>
            <w:noWrap w:val="0"/>
            <w:vAlign w:val="center"/>
          </w:tcPr>
          <w:p>
            <w:pPr>
              <w:jc w:val="left"/>
              <w:rPr>
                <w:sz w:val="28"/>
                <w:u w:val="single"/>
              </w:rPr>
            </w:pPr>
            <w:r>
              <w:rPr>
                <w:rFonts w:hint="eastAsia"/>
                <w:sz w:val="28"/>
              </w:rPr>
              <w:t>人民币（小写）：</w:t>
            </w:r>
            <w:r>
              <w:rPr>
                <w:rFonts w:hint="eastAsia"/>
                <w:sz w:val="28"/>
                <w:u w:val="single"/>
              </w:rPr>
              <w:t xml:space="preserve">                   </w:t>
            </w:r>
          </w:p>
          <w:p>
            <w:pPr>
              <w:jc w:val="left"/>
              <w:rPr>
                <w:sz w:val="28"/>
                <w:u w:val="single"/>
              </w:rPr>
            </w:pPr>
            <w:r>
              <w:rPr>
                <w:rFonts w:hint="eastAsia"/>
                <w:sz w:val="28"/>
              </w:rPr>
              <w:t>人民币（大写）：</w:t>
            </w:r>
            <w:r>
              <w:rPr>
                <w:rFonts w:hint="eastAsia"/>
                <w:sz w:val="28"/>
                <w:u w:val="single"/>
              </w:rPr>
              <w:t xml:space="preserve">                   </w:t>
            </w:r>
          </w:p>
        </w:tc>
      </w:tr>
    </w:tbl>
    <w:p>
      <w:pPr>
        <w:spacing w:line="760" w:lineRule="exact"/>
        <w:rPr>
          <w:sz w:val="28"/>
        </w:rPr>
      </w:pPr>
      <w:r>
        <w:rPr>
          <w:rFonts w:hint="eastAsia"/>
          <w:sz w:val="28"/>
        </w:rPr>
        <w:t>投标人：</w:t>
      </w:r>
      <w:r>
        <w:rPr>
          <w:rFonts w:hint="eastAsia"/>
          <w:sz w:val="28"/>
          <w:u w:val="single"/>
        </w:rPr>
        <w:t xml:space="preserve">        </w:t>
      </w:r>
      <w:r>
        <w:rPr>
          <w:rFonts w:hint="eastAsia"/>
          <w:sz w:val="28"/>
        </w:rPr>
        <w:t>（公章）</w:t>
      </w:r>
    </w:p>
    <w:p>
      <w:pPr>
        <w:spacing w:line="760" w:lineRule="exact"/>
        <w:rPr>
          <w:sz w:val="28"/>
          <w:u w:val="single"/>
        </w:rPr>
      </w:pPr>
      <w:r>
        <w:rPr>
          <w:rFonts w:hint="eastAsia"/>
          <w:sz w:val="28"/>
        </w:rPr>
        <w:t>法定代表人或其授权代表人（签字或盖章）：</w:t>
      </w:r>
      <w:r>
        <w:rPr>
          <w:rFonts w:hint="eastAsia"/>
          <w:sz w:val="28"/>
          <w:u w:val="single"/>
        </w:rPr>
        <w:t xml:space="preserve">            </w:t>
      </w:r>
    </w:p>
    <w:p>
      <w:pPr>
        <w:spacing w:line="760" w:lineRule="exact"/>
        <w:rPr>
          <w:sz w:val="28"/>
        </w:rPr>
      </w:pPr>
      <w:r>
        <w:rPr>
          <w:rFonts w:hint="eastAsia"/>
          <w:sz w:val="28"/>
        </w:rPr>
        <w:t>日期：</w:t>
      </w:r>
    </w:p>
    <w:p>
      <w:pPr>
        <w:spacing w:line="400" w:lineRule="exact"/>
        <w:jc w:val="left"/>
        <w:rPr>
          <w:b/>
          <w:sz w:val="28"/>
        </w:rPr>
      </w:pPr>
      <w:r>
        <w:rPr>
          <w:rFonts w:hint="eastAsia"/>
          <w:b/>
          <w:sz w:val="28"/>
        </w:rPr>
        <w:t>注：</w:t>
      </w:r>
    </w:p>
    <w:p>
      <w:pPr>
        <w:spacing w:line="400" w:lineRule="exact"/>
        <w:jc w:val="left"/>
        <w:rPr>
          <w:b/>
          <w:sz w:val="24"/>
        </w:rPr>
      </w:pPr>
      <w:r>
        <w:rPr>
          <w:rFonts w:hint="eastAsia"/>
          <w:b/>
          <w:sz w:val="24"/>
        </w:rPr>
        <w:t>1、响应报价总计为采购费用与其他费用的合成总计；包括货物制造、检验、安装、合理利润、税金、售后服务以及招标代理费等后续服务引起的一切相关费用。</w:t>
      </w:r>
    </w:p>
    <w:p>
      <w:pPr>
        <w:spacing w:line="400" w:lineRule="exact"/>
        <w:jc w:val="left"/>
        <w:rPr>
          <w:b/>
          <w:sz w:val="24"/>
        </w:rPr>
      </w:pPr>
      <w:r>
        <w:rPr>
          <w:rFonts w:hint="eastAsia"/>
          <w:b/>
          <w:sz w:val="24"/>
        </w:rPr>
        <w:t>2、开标一览表格式不得自行改动。</w:t>
      </w:r>
    </w:p>
    <w:p>
      <w:pPr>
        <w:spacing w:line="400" w:lineRule="exact"/>
        <w:jc w:val="left"/>
        <w:rPr>
          <w:b/>
          <w:sz w:val="24"/>
        </w:rPr>
      </w:pPr>
      <w:r>
        <w:rPr>
          <w:rFonts w:hint="eastAsia"/>
          <w:b/>
          <w:sz w:val="24"/>
        </w:rPr>
        <w:t xml:space="preserve">3、该表供最终报价时使用，谈判供应商须按规定的格式填写。 </w:t>
      </w:r>
    </w:p>
    <w:p>
      <w:pPr>
        <w:spacing w:line="400" w:lineRule="exact"/>
        <w:jc w:val="left"/>
        <w:rPr>
          <w:b/>
          <w:sz w:val="24"/>
        </w:rPr>
      </w:pPr>
      <w:r>
        <w:rPr>
          <w:rFonts w:hint="eastAsia"/>
          <w:b/>
          <w:sz w:val="24"/>
        </w:rPr>
        <w:t>4. 此表应单独携带（签字、盖章），供最终报价使用。</w:t>
      </w:r>
    </w:p>
    <w:p>
      <w:pPr>
        <w:spacing w:line="400" w:lineRule="exact"/>
        <w:ind w:left="2409" w:hanging="2409" w:hangingChars="1000"/>
        <w:jc w:val="left"/>
        <w:rPr>
          <w:rFonts w:hint="eastAsia"/>
          <w:b/>
          <w:sz w:val="24"/>
        </w:rPr>
      </w:pPr>
      <w:r>
        <w:rPr>
          <w:rFonts w:hint="eastAsia"/>
          <w:b/>
          <w:sz w:val="24"/>
        </w:rPr>
        <w:t>5、此表不得编制在响应文件中，否则响应文件无效。</w:t>
      </w:r>
    </w:p>
    <w:p>
      <w:pPr>
        <w:spacing w:line="400" w:lineRule="exact"/>
        <w:ind w:left="2409" w:hanging="2409" w:hangingChars="1000"/>
        <w:jc w:val="left"/>
        <w:rPr>
          <w:rFonts w:hint="eastAsia"/>
          <w:b/>
          <w:sz w:val="24"/>
        </w:rPr>
      </w:pPr>
      <w:r>
        <w:rPr>
          <w:rFonts w:hint="eastAsia"/>
          <w:b/>
          <w:sz w:val="24"/>
        </w:rPr>
        <w:t>6、未按要求递交最终报价表，最终报价无效。</w:t>
      </w:r>
    </w:p>
    <w:p>
      <w:pPr>
        <w:spacing w:line="400" w:lineRule="exact"/>
        <w:rPr>
          <w:rFonts w:hint="eastAsia"/>
          <w:b/>
          <w:sz w:val="36"/>
        </w:rPr>
      </w:pPr>
    </w:p>
    <w:p>
      <w:pPr>
        <w:spacing w:line="400" w:lineRule="exact"/>
        <w:ind w:left="3614" w:hanging="3614" w:hangingChars="1000"/>
        <w:jc w:val="center"/>
        <w:rPr>
          <w:rFonts w:hint="eastAsia"/>
          <w:b/>
          <w:sz w:val="36"/>
        </w:rPr>
      </w:pPr>
    </w:p>
    <w:p>
      <w:pPr>
        <w:spacing w:line="400" w:lineRule="exact"/>
        <w:ind w:left="3614" w:hanging="3614" w:hangingChars="1000"/>
        <w:jc w:val="center"/>
        <w:rPr>
          <w:rFonts w:hint="eastAsia"/>
          <w:b/>
          <w:sz w:val="36"/>
        </w:rPr>
      </w:pPr>
    </w:p>
    <w:p>
      <w:pPr>
        <w:pStyle w:val="2"/>
        <w:rPr>
          <w:rFonts w:hint="eastAsia"/>
          <w:b/>
          <w:sz w:val="36"/>
        </w:rPr>
      </w:pPr>
    </w:p>
    <w:p>
      <w:pPr>
        <w:pStyle w:val="2"/>
        <w:rPr>
          <w:rFonts w:hint="eastAsia"/>
          <w:b/>
          <w:sz w:val="36"/>
        </w:rPr>
      </w:pPr>
    </w:p>
    <w:p>
      <w:pPr>
        <w:spacing w:line="400" w:lineRule="exact"/>
        <w:jc w:val="both"/>
        <w:rPr>
          <w:rFonts w:hint="eastAsia"/>
          <w:b/>
          <w:sz w:val="36"/>
        </w:rPr>
      </w:pPr>
    </w:p>
    <w:p>
      <w:pPr>
        <w:spacing w:line="400" w:lineRule="exact"/>
        <w:ind w:firstLine="2409" w:firstLineChars="800"/>
        <w:jc w:val="both"/>
        <w:rPr>
          <w:rFonts w:hint="eastAsia"/>
          <w:b/>
          <w:sz w:val="30"/>
          <w:szCs w:val="30"/>
        </w:rPr>
      </w:pPr>
      <w:r>
        <w:rPr>
          <w:rFonts w:hint="eastAsia"/>
          <w:b/>
          <w:sz w:val="30"/>
          <w:szCs w:val="30"/>
        </w:rPr>
        <w:t>六、投标分项报价表</w:t>
      </w:r>
    </w:p>
    <w:tbl>
      <w:tblPr>
        <w:tblStyle w:val="15"/>
        <w:tblpPr w:leftFromText="180" w:rightFromText="180" w:vertAnchor="text" w:horzAnchor="page" w:tblpX="1384" w:tblpY="287"/>
        <w:tblOverlap w:val="never"/>
        <w:tblW w:w="94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2"/>
        <w:gridCol w:w="900"/>
        <w:gridCol w:w="900"/>
        <w:gridCol w:w="735"/>
        <w:gridCol w:w="933"/>
        <w:gridCol w:w="975"/>
        <w:gridCol w:w="1050"/>
        <w:gridCol w:w="1182"/>
        <w:gridCol w:w="1087"/>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432" w:type="dxa"/>
            <w:gridSpan w:val="10"/>
            <w:tcBorders>
              <w:top w:val="nil"/>
              <w:left w:val="nil"/>
              <w:bottom w:val="nil"/>
              <w:right w:val="nil"/>
            </w:tcBorders>
            <w:noWrap w:val="0"/>
            <w:vAlign w:val="top"/>
          </w:tcPr>
          <w:p>
            <w:pPr>
              <w:keepNext w:val="0"/>
              <w:keepLines w:val="0"/>
              <w:widowControl/>
              <w:suppressLineNumbers w:val="0"/>
              <w:jc w:val="center"/>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黄石市中心医院（金山院区）新增加窗帘采购配置明细表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区域</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窗数量    （个）</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窗宽     （m）</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窗高     （m）</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Style w:val="31"/>
                <w:lang w:val="en-US" w:eastAsia="zh-CN" w:bidi="ar"/>
              </w:rPr>
              <w:t>面积  （</w:t>
            </w:r>
            <w:r>
              <w:rPr>
                <w:rStyle w:val="32"/>
                <w:lang w:val="en-US" w:eastAsia="zh-CN" w:bidi="ar"/>
              </w:rPr>
              <w:t>㎡</w:t>
            </w:r>
            <w:r>
              <w:rPr>
                <w:rStyle w:val="31"/>
                <w:lang w:val="en-US" w:eastAsia="zh-CN" w:bidi="ar"/>
              </w:rPr>
              <w:t>）</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控制价单价(元)</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合计金额(元)</w:t>
            </w: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住院大楼二层透析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住院部 2F透析科</w:t>
            </w: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换鞋区</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11.57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5.28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0.46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4.29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18.88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3.98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15.34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3.29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8.55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20.41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3.92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10.19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3.28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10.27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3.96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10.30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20.36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2.08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 </w:t>
            </w: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32"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住院楼2F透析科小计</w:t>
            </w:r>
          </w:p>
        </w:tc>
        <w:tc>
          <w:tcPr>
            <w:tcW w:w="73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26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97.92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254.59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8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住院3F抢救室大厅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8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4.17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2.16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9.01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2532"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住院楼3F小计</w:t>
            </w:r>
          </w:p>
        </w:tc>
        <w:tc>
          <w:tcPr>
            <w:tcW w:w="73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8.34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18.01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门诊楼2F女值班室</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5.33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复苏室</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麻醉药品间</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7.54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32" w:type="dxa"/>
            <w:gridSpan w:val="3"/>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门诊楼2F小计</w:t>
            </w:r>
          </w:p>
        </w:tc>
        <w:tc>
          <w:tcPr>
            <w:tcW w:w="735"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3"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6.75 </w:t>
            </w:r>
          </w:p>
        </w:tc>
        <w:tc>
          <w:tcPr>
            <w:tcW w:w="975" w:type="dxa"/>
            <w:tcBorders>
              <w:top w:val="nil"/>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nil"/>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16.11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432" w:type="dxa"/>
            <w:gridSpan w:val="10"/>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8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食堂1F</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5.05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12.12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8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5.76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8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9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11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32" w:type="dxa"/>
            <w:gridSpan w:val="3"/>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食堂小计</w:t>
            </w:r>
          </w:p>
        </w:tc>
        <w:tc>
          <w:tcPr>
            <w:tcW w:w="73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10.75 </w:t>
            </w:r>
          </w:p>
        </w:tc>
        <w:tc>
          <w:tcPr>
            <w:tcW w:w="975"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27.78 </w:t>
            </w:r>
          </w:p>
        </w:tc>
        <w:tc>
          <w:tcPr>
            <w:tcW w:w="1182"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3267" w:type="dxa"/>
            <w:gridSpan w:val="4"/>
            <w:tcBorders>
              <w:top w:val="single" w:color="000000" w:sz="4" w:space="0"/>
              <w:left w:val="single" w:color="000000" w:sz="4" w:space="0"/>
              <w:bottom w:val="single" w:color="000000" w:sz="4" w:space="0"/>
              <w:right w:val="nil"/>
            </w:tcBorders>
            <w:shd w:val="clear" w:color="auto" w:fill="E2EFDA"/>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其他增加区域</w:t>
            </w:r>
          </w:p>
        </w:tc>
        <w:tc>
          <w:tcPr>
            <w:tcW w:w="933"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nil"/>
              <w:bottom w:val="single" w:color="000000" w:sz="4" w:space="0"/>
              <w:right w:val="nil"/>
            </w:tcBorders>
            <w:shd w:val="clear" w:color="auto" w:fill="E2EFDA"/>
            <w:noWrap w:val="0"/>
            <w:vAlign w:val="center"/>
          </w:tcPr>
          <w:p>
            <w:pPr>
              <w:jc w:val="center"/>
              <w:rPr>
                <w:rFonts w:hint="eastAsia" w:ascii="宋体" w:hAnsi="宋体" w:eastAsia="宋体" w:cs="宋体"/>
                <w:b/>
                <w:bCs/>
                <w:i w:val="0"/>
                <w:iCs w:val="0"/>
                <w:color w:val="000000"/>
                <w:sz w:val="22"/>
                <w:szCs w:val="22"/>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E2EFDA"/>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B超</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核医学科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12.80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30.72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泌尿外科门诊</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泌尿外科住院楼</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9.36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综合肿瘤外科避难间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综合肿瘤外科避难间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7.80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20.28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7B晾晒间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12B晾晒间</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9.10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 </w:t>
            </w:r>
          </w:p>
        </w:tc>
        <w:tc>
          <w:tcPr>
            <w:tcW w:w="1800" w:type="dxa"/>
            <w:gridSpan w:val="2"/>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电工班</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10.44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 </w:t>
            </w:r>
          </w:p>
        </w:tc>
        <w:tc>
          <w:tcPr>
            <w:tcW w:w="1800" w:type="dxa"/>
            <w:gridSpan w:val="2"/>
            <w:vMerge w:val="restart"/>
            <w:tcBorders>
              <w:top w:val="single" w:color="000000" w:sz="4" w:space="0"/>
              <w:left w:val="single" w:color="000000" w:sz="4" w:space="0"/>
              <w:bottom w:val="nil"/>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生殖医学科</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1.35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3.78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8.96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5.90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9.44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trPr>
        <w:tc>
          <w:tcPr>
            <w:tcW w:w="7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 </w:t>
            </w:r>
          </w:p>
        </w:tc>
        <w:tc>
          <w:tcPr>
            <w:tcW w:w="1800" w:type="dxa"/>
            <w:gridSpan w:val="2"/>
            <w:vMerge w:val="continue"/>
            <w:tcBorders>
              <w:top w:val="single" w:color="000000" w:sz="4" w:space="0"/>
              <w:left w:val="single" w:color="000000" w:sz="4" w:space="0"/>
              <w:bottom w:val="nil"/>
              <w:right w:val="single" w:color="000000" w:sz="4" w:space="0"/>
            </w:tcBorders>
            <w:shd w:val="clear" w:color="auto" w:fill="auto"/>
            <w:noWrap w:val="0"/>
            <w:vAlign w:val="center"/>
          </w:tcPr>
          <w:p>
            <w:pPr>
              <w:jc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 </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3.81 </w:t>
            </w:r>
          </w:p>
        </w:tc>
        <w:tc>
          <w:tcPr>
            <w:tcW w:w="118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32" w:type="dxa"/>
            <w:gridSpan w:val="3"/>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735"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21 </w:t>
            </w:r>
          </w:p>
        </w:tc>
        <w:tc>
          <w:tcPr>
            <w:tcW w:w="933"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175.31 </w:t>
            </w:r>
          </w:p>
        </w:tc>
        <w:tc>
          <w:tcPr>
            <w:tcW w:w="1182"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1087" w:type="dxa"/>
            <w:tcBorders>
              <w:top w:val="nil"/>
              <w:left w:val="nil"/>
              <w:bottom w:val="single" w:color="auto" w:sz="4" w:space="0"/>
              <w:right w:val="nil"/>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c>
          <w:tcPr>
            <w:tcW w:w="938" w:type="dxa"/>
            <w:tcBorders>
              <w:top w:val="single" w:color="000000" w:sz="4" w:space="0"/>
              <w:left w:val="single" w:color="000000" w:sz="4" w:space="0"/>
              <w:bottom w:val="single" w:color="auto" w:sz="4" w:space="0"/>
              <w:right w:val="single" w:color="000000"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2532" w:type="dxa"/>
            <w:gridSpan w:val="3"/>
            <w:tcBorders>
              <w:top w:val="single" w:color="auto" w:sz="4" w:space="0"/>
              <w:left w:val="single" w:color="auto" w:sz="4" w:space="0"/>
              <w:bottom w:val="single" w:color="auto" w:sz="4" w:space="0"/>
              <w:right w:val="single" w:color="auto" w:sz="4" w:space="0"/>
            </w:tcBorders>
            <w:shd w:val="clear" w:color="auto" w:fill="FCE4D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735" w:type="dxa"/>
            <w:tcBorders>
              <w:top w:val="single" w:color="auto" w:sz="4" w:space="0"/>
              <w:left w:val="single" w:color="auto" w:sz="4" w:space="0"/>
              <w:bottom w:val="single" w:color="auto" w:sz="4" w:space="0"/>
              <w:right w:val="single" w:color="auto" w:sz="4" w:space="0"/>
            </w:tcBorders>
            <w:shd w:val="clear" w:color="auto" w:fill="FCE4D6"/>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55 </w:t>
            </w:r>
          </w:p>
        </w:tc>
        <w:tc>
          <w:tcPr>
            <w:tcW w:w="933" w:type="dxa"/>
            <w:tcBorders>
              <w:top w:val="single" w:color="auto" w:sz="4" w:space="0"/>
              <w:left w:val="single" w:color="auto" w:sz="4" w:space="0"/>
              <w:bottom w:val="single" w:color="auto" w:sz="4" w:space="0"/>
              <w:right w:val="single" w:color="auto" w:sz="4" w:space="0"/>
            </w:tcBorders>
            <w:shd w:val="clear" w:color="auto" w:fill="FCE4D6"/>
            <w:noWrap w:val="0"/>
            <w:vAlign w:val="center"/>
          </w:tcPr>
          <w:p>
            <w:pPr>
              <w:jc w:val="center"/>
              <w:rPr>
                <w:rFonts w:hint="eastAsia" w:ascii="宋体" w:hAnsi="宋体" w:eastAsia="宋体" w:cs="宋体"/>
                <w:b/>
                <w:bCs/>
                <w:i w:val="0"/>
                <w:iCs w:val="0"/>
                <w:color w:val="000000"/>
                <w:sz w:val="22"/>
                <w:szCs w:val="22"/>
                <w:u w:val="none"/>
              </w:rPr>
            </w:pPr>
          </w:p>
        </w:tc>
        <w:tc>
          <w:tcPr>
            <w:tcW w:w="975" w:type="dxa"/>
            <w:tcBorders>
              <w:top w:val="single" w:color="auto" w:sz="4" w:space="0"/>
              <w:left w:val="single" w:color="auto" w:sz="4" w:space="0"/>
              <w:bottom w:val="single" w:color="auto" w:sz="4" w:space="0"/>
              <w:right w:val="single" w:color="auto" w:sz="4" w:space="0"/>
            </w:tcBorders>
            <w:shd w:val="clear" w:color="auto" w:fill="FCE4D6"/>
            <w:noWrap w:val="0"/>
            <w:vAlign w:val="center"/>
          </w:tcPr>
          <w:p>
            <w:pPr>
              <w:jc w:val="center"/>
              <w:rPr>
                <w:rFonts w:hint="eastAsia" w:ascii="宋体" w:hAnsi="宋体" w:eastAsia="宋体" w:cs="宋体"/>
                <w:b/>
                <w:bCs/>
                <w:i w:val="0"/>
                <w:iCs w:val="0"/>
                <w:color w:val="000000"/>
                <w:sz w:val="22"/>
                <w:szCs w:val="22"/>
                <w:u w:val="none"/>
              </w:rPr>
            </w:pPr>
          </w:p>
        </w:tc>
        <w:tc>
          <w:tcPr>
            <w:tcW w:w="1050" w:type="dxa"/>
            <w:tcBorders>
              <w:top w:val="single" w:color="auto" w:sz="4" w:space="0"/>
              <w:left w:val="single" w:color="auto" w:sz="4" w:space="0"/>
              <w:bottom w:val="single" w:color="auto" w:sz="4" w:space="0"/>
              <w:right w:val="single" w:color="auto"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491.80 </w:t>
            </w:r>
          </w:p>
        </w:tc>
        <w:tc>
          <w:tcPr>
            <w:tcW w:w="1182" w:type="dxa"/>
            <w:tcBorders>
              <w:top w:val="single" w:color="auto" w:sz="4" w:space="0"/>
              <w:left w:val="single" w:color="auto" w:sz="4" w:space="0"/>
              <w:bottom w:val="single" w:color="auto" w:sz="4" w:space="0"/>
              <w:right w:val="single" w:color="auto"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 </w:t>
            </w:r>
          </w:p>
        </w:tc>
        <w:tc>
          <w:tcPr>
            <w:tcW w:w="1087" w:type="dxa"/>
            <w:tcBorders>
              <w:top w:val="single" w:color="auto" w:sz="4" w:space="0"/>
              <w:left w:val="single" w:color="auto" w:sz="4" w:space="0"/>
              <w:bottom w:val="single" w:color="auto" w:sz="4" w:space="0"/>
              <w:right w:val="single" w:color="auto" w:sz="4" w:space="0"/>
            </w:tcBorders>
            <w:shd w:val="clear" w:color="auto" w:fill="FFF2CC"/>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38" w:type="dxa"/>
            <w:tcBorders>
              <w:top w:val="single" w:color="auto" w:sz="4" w:space="0"/>
              <w:left w:val="single" w:color="auto" w:sz="4" w:space="0"/>
              <w:bottom w:val="single" w:color="auto" w:sz="4" w:space="0"/>
              <w:right w:val="single" w:color="auto" w:sz="4" w:space="0"/>
            </w:tcBorders>
            <w:shd w:val="clear" w:color="auto" w:fill="FFF2CC"/>
            <w:noWrap w:val="0"/>
            <w:vAlign w:val="center"/>
          </w:tcPr>
          <w:p>
            <w:pPr>
              <w:jc w:val="center"/>
              <w:rPr>
                <w:rFonts w:hint="eastAsia" w:ascii="宋体" w:hAnsi="宋体" w:eastAsia="宋体" w:cs="宋体"/>
                <w:i w:val="0"/>
                <w:iCs w:val="0"/>
                <w:color w:val="000000"/>
                <w:sz w:val="22"/>
                <w:szCs w:val="22"/>
                <w:u w:val="none"/>
              </w:rPr>
            </w:pPr>
          </w:p>
        </w:tc>
      </w:tr>
    </w:tbl>
    <w:p>
      <w:pPr>
        <w:rPr>
          <w:rFonts w:hint="eastAsia"/>
        </w:rPr>
      </w:pPr>
    </w:p>
    <w:p>
      <w:pPr>
        <w:rPr>
          <w:sz w:val="24"/>
          <w:szCs w:val="24"/>
        </w:rPr>
      </w:pPr>
      <w:r>
        <w:rPr>
          <w:rFonts w:hint="eastAsia"/>
        </w:rPr>
        <w:t>说</w:t>
      </w:r>
      <w:r>
        <w:rPr>
          <w:rFonts w:hint="eastAsia"/>
          <w:sz w:val="24"/>
          <w:szCs w:val="24"/>
        </w:rPr>
        <w:t>明：1．</w:t>
      </w:r>
      <w:r>
        <w:rPr>
          <w:rFonts w:hint="eastAsia"/>
          <w:color w:val="0D0D0D"/>
          <w:sz w:val="24"/>
          <w:szCs w:val="24"/>
        </w:rPr>
        <w:t>《报价明细表》合计应与《报价一览表》中的总报价一致。</w:t>
      </w:r>
    </w:p>
    <w:p>
      <w:pPr>
        <w:ind w:firstLine="720" w:firstLineChars="300"/>
        <w:rPr>
          <w:rFonts w:hint="eastAsia"/>
          <w:sz w:val="24"/>
          <w:szCs w:val="24"/>
        </w:rPr>
      </w:pPr>
      <w:r>
        <w:rPr>
          <w:rFonts w:hint="eastAsia"/>
          <w:color w:val="0D0D0D"/>
          <w:sz w:val="24"/>
          <w:szCs w:val="24"/>
        </w:rPr>
        <w:t>2．未提供详细的货物报价明细</w:t>
      </w:r>
      <w:r>
        <w:rPr>
          <w:rFonts w:hint="eastAsia"/>
          <w:sz w:val="24"/>
          <w:szCs w:val="24"/>
        </w:rPr>
        <w:t>导致的后果由供应商自行承担。</w:t>
      </w:r>
    </w:p>
    <w:p>
      <w:pPr>
        <w:ind w:firstLine="720" w:firstLineChars="300"/>
        <w:rPr>
          <w:sz w:val="24"/>
          <w:szCs w:val="24"/>
        </w:rPr>
      </w:pPr>
      <w:r>
        <w:rPr>
          <w:rFonts w:hint="eastAsia"/>
          <w:sz w:val="24"/>
          <w:szCs w:val="24"/>
          <w:lang w:val="en-US" w:eastAsia="zh-CN"/>
        </w:rPr>
        <w:t>3</w:t>
      </w:r>
      <w:r>
        <w:rPr>
          <w:rFonts w:hint="eastAsia"/>
          <w:color w:val="0D0D0D"/>
          <w:sz w:val="24"/>
          <w:szCs w:val="24"/>
        </w:rPr>
        <w:t>．</w:t>
      </w:r>
      <w:r>
        <w:rPr>
          <w:rFonts w:hint="eastAsia"/>
          <w:sz w:val="24"/>
          <w:szCs w:val="24"/>
          <w:lang w:val="en-US" w:eastAsia="zh-CN"/>
        </w:rPr>
        <w:t>.</w:t>
      </w:r>
      <w:r>
        <w:rPr>
          <w:rFonts w:hint="eastAsia"/>
          <w:sz w:val="24"/>
          <w:szCs w:val="24"/>
        </w:rPr>
        <w:t>结算方式</w:t>
      </w:r>
      <w:r>
        <w:rPr>
          <w:rFonts w:hint="eastAsia"/>
          <w:sz w:val="24"/>
          <w:szCs w:val="24"/>
          <w:lang w:eastAsia="zh-CN"/>
        </w:rPr>
        <w:t>，</w:t>
      </w:r>
      <w:r>
        <w:rPr>
          <w:rFonts w:hint="eastAsia"/>
          <w:sz w:val="24"/>
          <w:szCs w:val="24"/>
        </w:rPr>
        <w:t>以实际验收面积*中标单价进行结算</w:t>
      </w:r>
      <w:r>
        <w:rPr>
          <w:rFonts w:hint="eastAsia"/>
          <w:sz w:val="24"/>
          <w:szCs w:val="24"/>
          <w:lang w:eastAsia="zh-CN"/>
        </w:rPr>
        <w:t>。</w:t>
      </w:r>
      <w:r>
        <w:rPr>
          <w:rFonts w:hint="eastAsia"/>
          <w:sz w:val="24"/>
          <w:szCs w:val="24"/>
        </w:rPr>
        <w:t xml:space="preserve">  </w:t>
      </w:r>
    </w:p>
    <w:p>
      <w:pPr>
        <w:ind w:firstLine="480"/>
        <w:rPr>
          <w:sz w:val="24"/>
          <w:szCs w:val="24"/>
        </w:rPr>
      </w:pPr>
    </w:p>
    <w:p>
      <w:pPr>
        <w:ind w:firstLine="480"/>
        <w:rPr>
          <w:sz w:val="24"/>
          <w:szCs w:val="24"/>
          <w:u w:val="single"/>
        </w:rPr>
      </w:pPr>
      <w:r>
        <w:rPr>
          <w:sz w:val="24"/>
          <w:szCs w:val="24"/>
        </w:rPr>
        <w:t>供应商名称（公章）：</w:t>
      </w:r>
      <w:r>
        <w:rPr>
          <w:rFonts w:hint="eastAsia"/>
          <w:sz w:val="24"/>
          <w:szCs w:val="24"/>
          <w:u w:val="single"/>
        </w:rPr>
        <w:t xml:space="preserve">                                </w:t>
      </w:r>
    </w:p>
    <w:p>
      <w:pPr>
        <w:ind w:firstLine="480"/>
        <w:rPr>
          <w:sz w:val="24"/>
          <w:szCs w:val="24"/>
        </w:rPr>
      </w:pPr>
    </w:p>
    <w:p>
      <w:pPr>
        <w:ind w:firstLine="480"/>
        <w:rPr>
          <w:rFonts w:hint="eastAsia"/>
          <w:sz w:val="24"/>
          <w:szCs w:val="24"/>
          <w:u w:val="single"/>
        </w:rPr>
      </w:pPr>
      <w:r>
        <w:rPr>
          <w:sz w:val="24"/>
          <w:szCs w:val="24"/>
        </w:rPr>
        <w:t>法定代表人或授权代表（签字或盖章）：</w:t>
      </w:r>
      <w:r>
        <w:rPr>
          <w:rFonts w:hint="eastAsia"/>
          <w:sz w:val="24"/>
          <w:szCs w:val="24"/>
          <w:u w:val="single"/>
        </w:rPr>
        <w:t xml:space="preserve">                </w:t>
      </w:r>
    </w:p>
    <w:p>
      <w:pPr>
        <w:spacing w:line="400" w:lineRule="exact"/>
        <w:ind w:left="2399" w:leftChars="228" w:hanging="1920" w:hangingChars="800"/>
        <w:jc w:val="both"/>
        <w:rPr>
          <w:rFonts w:hint="eastAsia"/>
          <w:bCs/>
          <w:sz w:val="24"/>
          <w:szCs w:val="24"/>
        </w:rPr>
      </w:pPr>
    </w:p>
    <w:p>
      <w:pPr>
        <w:spacing w:line="400" w:lineRule="exact"/>
        <w:ind w:left="2399" w:leftChars="228" w:hanging="1920" w:hangingChars="800"/>
        <w:jc w:val="both"/>
      </w:pPr>
      <w:r>
        <w:rPr>
          <w:rFonts w:hint="eastAsia"/>
          <w:bCs/>
          <w:sz w:val="24"/>
          <w:szCs w:val="24"/>
        </w:rPr>
        <w:t>日期</w:t>
      </w:r>
      <w:r>
        <w:rPr>
          <w:rFonts w:hint="eastAsia"/>
          <w:bCs/>
          <w:sz w:val="24"/>
          <w:szCs w:val="24"/>
          <w:lang w:eastAsia="zh-CN"/>
        </w:rPr>
        <w:t>：</w:t>
      </w:r>
      <w:r>
        <w:rPr>
          <w:rFonts w:hint="eastAsia"/>
          <w:bCs/>
          <w:sz w:val="24"/>
          <w:szCs w:val="24"/>
          <w:lang w:val="en-US" w:eastAsia="zh-CN"/>
        </w:rPr>
        <w:t xml:space="preserve">  </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color w:val="000000"/>
          <w:sz w:val="24"/>
          <w:szCs w:val="24"/>
          <w:u w:val="none"/>
        </w:rPr>
        <w:t>年</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 xml:space="preserve"> </w:t>
      </w:r>
      <w:r>
        <w:rPr>
          <w:rFonts w:hint="eastAsia"/>
          <w:bCs/>
          <w:sz w:val="24"/>
          <w:szCs w:val="24"/>
        </w:rPr>
        <w:t>月</w:t>
      </w:r>
      <w:r>
        <w:rPr>
          <w:rFonts w:hint="eastAsia"/>
          <w:color w:val="000000"/>
          <w:sz w:val="24"/>
          <w:szCs w:val="24"/>
          <w:u w:val="single"/>
        </w:rPr>
        <w:t xml:space="preserve"> </w:t>
      </w:r>
      <w:r>
        <w:rPr>
          <w:rFonts w:hint="eastAsia"/>
          <w:color w:val="000000"/>
          <w:sz w:val="24"/>
          <w:szCs w:val="24"/>
          <w:u w:val="single"/>
          <w:lang w:val="en-US" w:eastAsia="zh-CN"/>
        </w:rPr>
        <w:t xml:space="preserve">   </w:t>
      </w:r>
      <w:r>
        <w:rPr>
          <w:rFonts w:hint="eastAsia"/>
          <w:color w:val="000000"/>
          <w:sz w:val="24"/>
          <w:szCs w:val="24"/>
          <w:u w:val="single"/>
        </w:rPr>
        <w:t>日</w:t>
      </w:r>
      <w:bookmarkEnd w:id="60"/>
      <w:bookmarkEnd w:id="61"/>
      <w:bookmarkEnd w:id="62"/>
      <w:bookmarkEnd w:id="63"/>
      <w:bookmarkEnd w:id="64"/>
      <w:bookmarkEnd w:id="65"/>
    </w:p>
    <w:sectPr>
      <w:footerReference r:id="rId7"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fmt="decimal"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w:pict>
        <v:shape id="_x0000_s4097" o:spid="_x0000_s4097" o:spt="202" type="#_x0000_t202" style="position:absolute;left:0pt;margin-top:0pt;height:11pt;width:4.6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8D0E6"/>
    <w:multiLevelType w:val="singleLevel"/>
    <w:tmpl w:val="8E78D0E6"/>
    <w:lvl w:ilvl="0" w:tentative="0">
      <w:start w:val="1"/>
      <w:numFmt w:val="chineseCounting"/>
      <w:suff w:val="space"/>
      <w:lvlText w:val="第%1章"/>
      <w:lvlJc w:val="left"/>
      <w:pPr>
        <w:ind w:left="1546" w:leftChars="0" w:firstLine="0" w:firstLineChars="0"/>
      </w:pPr>
      <w:rPr>
        <w:rFonts w:hint="eastAsia"/>
      </w:rPr>
    </w:lvl>
  </w:abstractNum>
  <w:abstractNum w:abstractNumId="1">
    <w:nsid w:val="F958ED95"/>
    <w:multiLevelType w:val="singleLevel"/>
    <w:tmpl w:val="F958ED95"/>
    <w:lvl w:ilvl="0" w:tentative="0">
      <w:start w:val="1"/>
      <w:numFmt w:val="chineseCounting"/>
      <w:suff w:val="nothing"/>
      <w:lvlText w:val="%1、"/>
      <w:lvlJc w:val="left"/>
      <w:rPr>
        <w:rFonts w:hint="eastAsia"/>
      </w:rPr>
    </w:lvl>
  </w:abstractNum>
  <w:abstractNum w:abstractNumId="2">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B4417F"/>
    <w:multiLevelType w:val="multilevel"/>
    <w:tmpl w:val="03B4417F"/>
    <w:lvl w:ilvl="0" w:tentative="0">
      <w:start w:val="1"/>
      <w:numFmt w:val="decimal"/>
      <w:pStyle w:val="20"/>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35528EE1"/>
    <w:multiLevelType w:val="singleLevel"/>
    <w:tmpl w:val="35528EE1"/>
    <w:lvl w:ilvl="0" w:tentative="0">
      <w:start w:val="1"/>
      <w:numFmt w:val="chineseCounting"/>
      <w:suff w:val="nothing"/>
      <w:lvlText w:val="（%1）"/>
      <w:lvlJc w:val="left"/>
      <w:rPr>
        <w:rFonts w:hint="eastAsia"/>
      </w:rPr>
    </w:lvl>
  </w:abstractNum>
  <w:abstractNum w:abstractNumId="5">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RjZDEwODVmNzMxM2Q3Y2I2NTU0NDVjOWFhYTFkYjAifQ=="/>
  </w:docVars>
  <w:rsids>
    <w:rsidRoot w:val="006674C7"/>
    <w:rsid w:val="001F4F08"/>
    <w:rsid w:val="00567FE8"/>
    <w:rsid w:val="006674C7"/>
    <w:rsid w:val="00716542"/>
    <w:rsid w:val="00800362"/>
    <w:rsid w:val="00A62B02"/>
    <w:rsid w:val="00EF2BFE"/>
    <w:rsid w:val="00F929ED"/>
    <w:rsid w:val="08CB0CA3"/>
    <w:rsid w:val="09E0252C"/>
    <w:rsid w:val="0EC164DD"/>
    <w:rsid w:val="16873D30"/>
    <w:rsid w:val="1997072D"/>
    <w:rsid w:val="19E03E83"/>
    <w:rsid w:val="1BD354C4"/>
    <w:rsid w:val="1CC41839"/>
    <w:rsid w:val="1D2B3667"/>
    <w:rsid w:val="1EF65EF6"/>
    <w:rsid w:val="220D77DF"/>
    <w:rsid w:val="22244B28"/>
    <w:rsid w:val="2B365FF8"/>
    <w:rsid w:val="2BD82C0B"/>
    <w:rsid w:val="4E21448E"/>
    <w:rsid w:val="614B38A4"/>
    <w:rsid w:val="616E1341"/>
    <w:rsid w:val="63EF49BB"/>
    <w:rsid w:val="68104F00"/>
    <w:rsid w:val="6A260A0B"/>
    <w:rsid w:val="6AAD4ECC"/>
    <w:rsid w:val="706C7393"/>
    <w:rsid w:val="751F5F2E"/>
    <w:rsid w:val="78DE0702"/>
    <w:rsid w:val="79404F19"/>
    <w:rsid w:val="7F76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line="520" w:lineRule="exact"/>
      <w:jc w:val="center"/>
      <w:outlineLvl w:val="1"/>
    </w:pPr>
    <w:rPr>
      <w:rFonts w:ascii="宋体" w:hAnsi="宋体"/>
      <w:b/>
      <w:bCs/>
      <w:sz w:val="24"/>
      <w:szCs w:val="24"/>
    </w:rPr>
  </w:style>
  <w:style w:type="paragraph" w:styleId="5">
    <w:name w:val="heading 3"/>
    <w:basedOn w:val="1"/>
    <w:next w:val="1"/>
    <w:link w:val="21"/>
    <w:semiHidden/>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无间隔1"/>
    <w:qFormat/>
    <w:uiPriority w:val="0"/>
    <w:pPr>
      <w:widowControl w:val="0"/>
      <w:jc w:val="both"/>
    </w:pPr>
    <w:rPr>
      <w:rFonts w:ascii="等线" w:hAnsi="等线" w:eastAsia="等线" w:cs="Times New Roman"/>
      <w:kern w:val="2"/>
      <w:sz w:val="21"/>
      <w:szCs w:val="24"/>
      <w:lang w:val="en-US" w:eastAsia="zh-CN" w:bidi="ar-SA"/>
    </w:rPr>
  </w:style>
  <w:style w:type="paragraph" w:styleId="6">
    <w:name w:val="Normal Indent"/>
    <w:basedOn w:val="1"/>
    <w:qFormat/>
    <w:uiPriority w:val="0"/>
    <w:pPr>
      <w:spacing w:line="360" w:lineRule="auto"/>
      <w:ind w:firstLine="420" w:firstLineChars="200"/>
      <w:jc w:val="left"/>
    </w:pPr>
    <w:rPr>
      <w:rFonts w:ascii="仿宋" w:hAnsi="仿宋" w:eastAsia="仿宋"/>
      <w:sz w:val="20"/>
      <w:szCs w:val="20"/>
    </w:rPr>
  </w:style>
  <w:style w:type="paragraph" w:styleId="7">
    <w:name w:val="annotation text"/>
    <w:basedOn w:val="1"/>
    <w:link w:val="24"/>
    <w:semiHidden/>
    <w:uiPriority w:val="99"/>
    <w:pPr>
      <w:jc w:val="left"/>
    </w:pPr>
    <w:rPr>
      <w:rFonts w:asciiTheme="minorHAnsi" w:hAnsiTheme="minorHAnsi" w:eastAsiaTheme="minorEastAsia" w:cstheme="minorBidi"/>
      <w:szCs w:val="24"/>
    </w:rPr>
  </w:style>
  <w:style w:type="paragraph" w:styleId="8">
    <w:name w:val="Body Text"/>
    <w:basedOn w:val="1"/>
    <w:link w:val="23"/>
    <w:qFormat/>
    <w:uiPriority w:val="0"/>
    <w:rPr>
      <w:rFonts w:asciiTheme="minorHAnsi" w:hAnsiTheme="minorHAnsi" w:eastAsiaTheme="minorEastAsia" w:cstheme="minorBidi"/>
      <w:sz w:val="24"/>
      <w:szCs w:val="24"/>
    </w:rPr>
  </w:style>
  <w:style w:type="paragraph" w:styleId="9">
    <w:name w:val="Plain Text"/>
    <w:basedOn w:val="1"/>
    <w:link w:val="27"/>
    <w:qFormat/>
    <w:uiPriority w:val="0"/>
    <w:rPr>
      <w:rFonts w:ascii="宋体" w:hAnsi="Courier New"/>
      <w:kern w:val="10"/>
      <w:szCs w:val="21"/>
    </w:rPr>
  </w:style>
  <w:style w:type="paragraph" w:styleId="10">
    <w:name w:val="footer"/>
    <w:basedOn w:val="1"/>
    <w:next w:val="11"/>
    <w:link w:val="18"/>
    <w:unhideWhenUsed/>
    <w:qFormat/>
    <w:uiPriority w:val="99"/>
    <w:pPr>
      <w:tabs>
        <w:tab w:val="center" w:pos="4153"/>
        <w:tab w:val="right" w:pos="8306"/>
      </w:tabs>
      <w:snapToGrid w:val="0"/>
      <w:jc w:val="left"/>
    </w:pPr>
    <w:rPr>
      <w:sz w:val="18"/>
      <w:szCs w:val="18"/>
    </w:rPr>
  </w:style>
  <w:style w:type="paragraph" w:customStyle="1" w:styleId="11">
    <w:name w:val="目录 72"/>
    <w:next w:val="1"/>
    <w:qFormat/>
    <w:uiPriority w:val="0"/>
    <w:pPr>
      <w:wordWrap w:val="0"/>
      <w:ind w:left="2125"/>
      <w:jc w:val="both"/>
    </w:pPr>
    <w:rPr>
      <w:rFonts w:ascii="Calibri" w:hAnsi="Calibri" w:eastAsia="宋体" w:cs="Times New Roman"/>
      <w:sz w:val="21"/>
      <w:lang w:val="en-US" w:eastAsia="zh-CN" w:bidi="ar-SA"/>
    </w:rPr>
  </w:style>
  <w:style w:type="paragraph" w:styleId="12">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after="100" w:line="276" w:lineRule="auto"/>
      <w:jc w:val="left"/>
    </w:pPr>
    <w:rPr>
      <w:kern w:val="0"/>
      <w:sz w:val="22"/>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页眉 Char"/>
    <w:basedOn w:val="16"/>
    <w:link w:val="12"/>
    <w:uiPriority w:val="99"/>
    <w:rPr>
      <w:sz w:val="18"/>
      <w:szCs w:val="18"/>
    </w:rPr>
  </w:style>
  <w:style w:type="character" w:customStyle="1" w:styleId="18">
    <w:name w:val="页脚 Char"/>
    <w:basedOn w:val="16"/>
    <w:link w:val="10"/>
    <w:qFormat/>
    <w:uiPriority w:val="99"/>
    <w:rPr>
      <w:sz w:val="18"/>
      <w:szCs w:val="18"/>
    </w:rPr>
  </w:style>
  <w:style w:type="character" w:customStyle="1" w:styleId="19">
    <w:name w:val="标题 2 Char"/>
    <w:basedOn w:val="16"/>
    <w:link w:val="4"/>
    <w:qFormat/>
    <w:uiPriority w:val="0"/>
    <w:rPr>
      <w:rFonts w:ascii="宋体" w:hAnsi="宋体" w:eastAsia="宋体" w:cs="Times New Roman"/>
      <w:b/>
      <w:bCs/>
      <w:sz w:val="24"/>
      <w:szCs w:val="24"/>
    </w:rPr>
  </w:style>
  <w:style w:type="paragraph" w:customStyle="1" w:styleId="20">
    <w:name w:val="样式1"/>
    <w:basedOn w:val="5"/>
    <w:qFormat/>
    <w:uiPriority w:val="0"/>
    <w:pPr>
      <w:numPr>
        <w:ilvl w:val="0"/>
        <w:numId w:val="1"/>
      </w:numPr>
      <w:tabs>
        <w:tab w:val="left" w:pos="360"/>
        <w:tab w:val="left" w:pos="1134"/>
      </w:tabs>
      <w:spacing w:before="120" w:after="120" w:line="560" w:lineRule="exact"/>
      <w:ind w:left="0" w:firstLine="0"/>
    </w:pPr>
    <w:rPr>
      <w:rFonts w:ascii="宋体" w:hAnsi="宋体" w:cs="Arial"/>
      <w:kern w:val="0"/>
      <w:sz w:val="24"/>
    </w:rPr>
  </w:style>
  <w:style w:type="character" w:customStyle="1" w:styleId="21">
    <w:name w:val="标题 3 Char"/>
    <w:basedOn w:val="16"/>
    <w:link w:val="5"/>
    <w:semiHidden/>
    <w:qFormat/>
    <w:uiPriority w:val="9"/>
    <w:rPr>
      <w:rFonts w:ascii="Times New Roman" w:hAnsi="Times New Roman" w:eastAsia="宋体" w:cs="Times New Roman"/>
      <w:b/>
      <w:bCs/>
      <w:sz w:val="32"/>
      <w:szCs w:val="32"/>
    </w:rPr>
  </w:style>
  <w:style w:type="character" w:customStyle="1" w:styleId="22">
    <w:name w:val="标题 1 Char"/>
    <w:basedOn w:val="16"/>
    <w:link w:val="3"/>
    <w:qFormat/>
    <w:uiPriority w:val="9"/>
    <w:rPr>
      <w:rFonts w:ascii="Times New Roman" w:hAnsi="Times New Roman" w:eastAsia="宋体" w:cs="Times New Roman"/>
      <w:b/>
      <w:bCs/>
      <w:kern w:val="44"/>
      <w:sz w:val="44"/>
      <w:szCs w:val="44"/>
    </w:rPr>
  </w:style>
  <w:style w:type="character" w:customStyle="1" w:styleId="23">
    <w:name w:val="正文文本 Char"/>
    <w:link w:val="8"/>
    <w:qFormat/>
    <w:uiPriority w:val="0"/>
    <w:rPr>
      <w:sz w:val="24"/>
      <w:szCs w:val="24"/>
    </w:rPr>
  </w:style>
  <w:style w:type="character" w:customStyle="1" w:styleId="24">
    <w:name w:val="批注文字 Char"/>
    <w:link w:val="7"/>
    <w:semiHidden/>
    <w:qFormat/>
    <w:uiPriority w:val="99"/>
    <w:rPr>
      <w:szCs w:val="24"/>
    </w:rPr>
  </w:style>
  <w:style w:type="paragraph" w:customStyle="1" w:styleId="25">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26">
    <w:name w:val="Table Paragraph"/>
    <w:basedOn w:val="1"/>
    <w:qFormat/>
    <w:uiPriority w:val="1"/>
    <w:pPr>
      <w:jc w:val="left"/>
    </w:pPr>
    <w:rPr>
      <w:rFonts w:ascii="Calibri" w:hAnsi="Calibri"/>
      <w:kern w:val="0"/>
      <w:sz w:val="22"/>
      <w:szCs w:val="22"/>
      <w:lang w:eastAsia="en-US"/>
    </w:rPr>
  </w:style>
  <w:style w:type="character" w:customStyle="1" w:styleId="27">
    <w:name w:val="纯文本 Char"/>
    <w:basedOn w:val="16"/>
    <w:link w:val="9"/>
    <w:uiPriority w:val="0"/>
    <w:rPr>
      <w:rFonts w:ascii="宋体" w:hAnsi="Courier New" w:eastAsia="宋体" w:cs="Times New Roman"/>
      <w:kern w:val="10"/>
      <w:szCs w:val="21"/>
    </w:rPr>
  </w:style>
  <w:style w:type="character" w:customStyle="1" w:styleId="28">
    <w:name w:val="批注文字 字符1"/>
    <w:basedOn w:val="16"/>
    <w:semiHidden/>
    <w:qFormat/>
    <w:uiPriority w:val="99"/>
    <w:rPr>
      <w:rFonts w:ascii="Times New Roman" w:hAnsi="Times New Roman" w:eastAsia="宋体" w:cs="Times New Roman"/>
      <w:szCs w:val="20"/>
    </w:rPr>
  </w:style>
  <w:style w:type="character" w:customStyle="1" w:styleId="29">
    <w:name w:val="正文文本 字符1"/>
    <w:basedOn w:val="16"/>
    <w:semiHidden/>
    <w:qFormat/>
    <w:uiPriority w:val="99"/>
    <w:rPr>
      <w:rFonts w:ascii="Times New Roman" w:hAnsi="Times New Roman" w:eastAsia="宋体" w:cs="Times New Roman"/>
      <w:szCs w:val="20"/>
    </w:rPr>
  </w:style>
  <w:style w:type="character" w:customStyle="1" w:styleId="30">
    <w:name w:val="font7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eastAsia" w:ascii="宋体" w:hAnsi="宋体" w:eastAsia="宋体" w:cs="宋体"/>
      <w:b/>
      <w:bCs/>
      <w:color w:val="000000"/>
      <w:sz w:val="22"/>
      <w:szCs w:val="22"/>
      <w:u w:val="none"/>
    </w:rPr>
  </w:style>
  <w:style w:type="character" w:customStyle="1" w:styleId="32">
    <w:name w:val="font31"/>
    <w:basedOn w:val="16"/>
    <w:qFormat/>
    <w:uiPriority w:val="0"/>
    <w:rPr>
      <w:rFonts w:ascii="宋体" w:hAnsi="宋体" w:eastAsia="宋体" w:cs="宋体"/>
      <w:b/>
      <w:bCs/>
      <w:color w:val="000000"/>
      <w:sz w:val="22"/>
      <w:szCs w:val="22"/>
      <w:u w:val="none"/>
    </w:rPr>
  </w:style>
  <w:style w:type="paragraph" w:customStyle="1" w:styleId="33">
    <w:name w:val="纯文本_0"/>
    <w:basedOn w:val="34"/>
    <w:qFormat/>
    <w:uiPriority w:val="0"/>
    <w:pPr>
      <w:jc w:val="left"/>
    </w:pPr>
    <w:rPr>
      <w:rFonts w:ascii="宋体" w:hAnsi="Courier New" w:eastAsia="等线"/>
      <w:szCs w:val="21"/>
    </w:rPr>
  </w:style>
  <w:style w:type="paragraph" w:customStyle="1" w:styleId="34">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1346</Words>
  <Characters>7675</Characters>
  <Lines>63</Lines>
  <Paragraphs>18</Paragraphs>
  <TotalTime>7</TotalTime>
  <ScaleCrop>false</ScaleCrop>
  <LinksUpToDate>false</LinksUpToDate>
  <CharactersWithSpaces>9003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2020-08-27T10:28:00Z</dcterms:created>
  <dc:creator>Administrator</dc:creator>
  <cp:lastModifiedBy>WPS_1624937457</cp:lastModifiedBy>
  <cp:lastPrinted>2023-11-24T04:32:00Z</cp:lastPrinted>
  <dcterms:modified xsi:type="dcterms:W3CDTF">2023-11-27T06:28:40Z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DA030D09BDD04999907CE0B7E55849E4_12</vt:lpwstr>
  </property>
</Properties>
</file>