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p>
    <w:p>
      <w:pPr>
        <w:spacing w:line="360" w:lineRule="auto"/>
        <w:jc w:val="right"/>
        <w:rPr>
          <w:rFonts w:ascii="宋体" w:hAnsi="宋体"/>
          <w:b/>
          <w:bCs/>
          <w:sz w:val="92"/>
          <w:szCs w:val="92"/>
        </w:rPr>
      </w:pPr>
      <w:r>
        <w:rPr>
          <w:rFonts w:hint="eastAsia" w:ascii="宋体" w:hAnsi="宋体"/>
          <w:sz w:val="10"/>
          <w:szCs w:val="10"/>
        </w:rPr>
        <w:t xml:space="preserve">                             </w:t>
      </w:r>
    </w:p>
    <w:p>
      <w:pPr>
        <w:jc w:val="center"/>
        <w:rPr>
          <w:rFonts w:ascii="宋体" w:hAnsi="宋体"/>
          <w:b/>
          <w:bCs/>
          <w:sz w:val="72"/>
          <w:szCs w:val="72"/>
        </w:rPr>
      </w:pPr>
      <w:r>
        <w:rPr>
          <w:rFonts w:hint="eastAsia" w:ascii="宋体" w:hAnsi="宋体"/>
          <w:b/>
          <w:bCs/>
          <w:sz w:val="72"/>
          <w:szCs w:val="7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10"/>
        <w:tabs>
          <w:tab w:val="left" w:pos="703"/>
        </w:tabs>
        <w:rPr>
          <w:rFonts w:hAnsi="宋体"/>
          <w:sz w:val="24"/>
          <w:szCs w:val="24"/>
        </w:rPr>
      </w:pPr>
    </w:p>
    <w:p>
      <w:pPr>
        <w:pStyle w:val="10"/>
        <w:tabs>
          <w:tab w:val="left" w:pos="703"/>
        </w:tabs>
        <w:rPr>
          <w:rFonts w:hAnsi="宋体"/>
          <w:sz w:val="24"/>
          <w:szCs w:val="24"/>
        </w:rPr>
      </w:pPr>
    </w:p>
    <w:tbl>
      <w:tblPr>
        <w:tblStyle w:val="16"/>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ind w:left="2677" w:leftChars="608" w:hanging="1400" w:hangingChars="500"/>
              <w:rPr>
                <w:sz w:val="28"/>
                <w:szCs w:val="28"/>
              </w:rPr>
            </w:pPr>
          </w:p>
          <w:p>
            <w:pPr>
              <w:rPr>
                <w:rFonts w:ascii="宋体" w:hAnsi="宋体" w:cs="宋体"/>
                <w:sz w:val="28"/>
                <w:szCs w:val="36"/>
              </w:rPr>
            </w:pPr>
            <w:r>
              <w:rPr>
                <w:rFonts w:hint="eastAsia" w:ascii="宋体" w:hAnsi="宋体" w:cs="宋体"/>
                <w:bCs/>
                <w:sz w:val="28"/>
                <w:szCs w:val="28"/>
              </w:rPr>
              <w:t>黄石</w:t>
            </w:r>
            <w:r>
              <w:rPr>
                <w:rFonts w:hint="eastAsia" w:ascii="宋体" w:hAnsi="宋体" w:cs="宋体"/>
                <w:bCs/>
                <w:sz w:val="28"/>
                <w:szCs w:val="28"/>
                <w:lang w:val="zh-CN"/>
              </w:rPr>
              <w:t>市中心医院</w:t>
            </w:r>
            <w:r>
              <w:rPr>
                <w:rFonts w:hint="eastAsia" w:ascii="宋体" w:hAnsi="宋体" w:cs="宋体"/>
                <w:bCs/>
                <w:sz w:val="28"/>
                <w:szCs w:val="28"/>
              </w:rPr>
              <w:tab/>
            </w:r>
            <w:r>
              <w:rPr>
                <w:rFonts w:hint="eastAsia" w:ascii="宋体" w:hAnsi="宋体" w:cs="宋体"/>
                <w:bCs/>
                <w:sz w:val="28"/>
                <w:szCs w:val="28"/>
              </w:rPr>
              <w:t>（中心院区、普爱院区）病媒生物防治（灭“四害”）服务</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cs="宋体"/>
                <w:bCs/>
                <w:sz w:val="28"/>
                <w:szCs w:val="28"/>
              </w:rPr>
              <w:t>病媒生物防治（灭“四害”）服务</w:t>
            </w:r>
          </w:p>
        </w:tc>
      </w:tr>
    </w:tbl>
    <w:p>
      <w:pPr>
        <w:pStyle w:val="10"/>
        <w:tabs>
          <w:tab w:val="left" w:pos="703"/>
        </w:tabs>
        <w:spacing w:line="360" w:lineRule="auto"/>
        <w:rPr>
          <w:rFonts w:hAnsi="宋体" w:cs="宋体"/>
          <w:kern w:val="21"/>
          <w:sz w:val="24"/>
          <w:szCs w:val="24"/>
        </w:rPr>
      </w:pPr>
    </w:p>
    <w:p>
      <w:pPr>
        <w:pStyle w:val="10"/>
        <w:tabs>
          <w:tab w:val="left" w:pos="703"/>
        </w:tabs>
        <w:spacing w:line="360" w:lineRule="auto"/>
        <w:rPr>
          <w:rFonts w:hAnsi="宋体" w:cs="宋体"/>
          <w:kern w:val="21"/>
          <w:sz w:val="24"/>
          <w:szCs w:val="24"/>
        </w:rPr>
      </w:pPr>
    </w:p>
    <w:p>
      <w:pPr>
        <w:pStyle w:val="10"/>
        <w:tabs>
          <w:tab w:val="left" w:pos="703"/>
        </w:tabs>
        <w:spacing w:line="360" w:lineRule="auto"/>
        <w:rPr>
          <w:rFonts w:hAnsi="宋体" w:cs="宋体"/>
          <w:kern w:val="21"/>
          <w:sz w:val="24"/>
          <w:szCs w:val="24"/>
        </w:rPr>
      </w:pPr>
    </w:p>
    <w:tbl>
      <w:tblPr>
        <w:tblStyle w:val="16"/>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cs="宋体"/>
                <w:sz w:val="28"/>
                <w:szCs w:val="28"/>
              </w:rPr>
              <w:t>黄石</w:t>
            </w:r>
            <w:r>
              <w:rPr>
                <w:rFonts w:hint="eastAsia" w:ascii="宋体" w:hAnsi="宋体" w:cs="宋体"/>
                <w:sz w:val="28"/>
                <w:szCs w:val="36"/>
              </w:rPr>
              <w:t>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编制时间：2023年12月</w:t>
            </w:r>
          </w:p>
        </w:tc>
      </w:tr>
    </w:tbl>
    <w:p>
      <w:pPr>
        <w:pStyle w:val="14"/>
        <w:jc w:val="both"/>
        <w:rPr>
          <w:b/>
          <w:sz w:val="21"/>
          <w:szCs w:val="36"/>
        </w:rPr>
      </w:pPr>
    </w:p>
    <w:p>
      <w:pPr>
        <w:pStyle w:val="14"/>
        <w:jc w:val="both"/>
        <w:rPr>
          <w:b/>
          <w:sz w:val="21"/>
          <w:szCs w:val="36"/>
        </w:rPr>
      </w:pPr>
    </w:p>
    <w:p>
      <w:pPr>
        <w:pStyle w:val="14"/>
        <w:jc w:val="both"/>
        <w:rPr>
          <w:b/>
          <w:sz w:val="21"/>
          <w:szCs w:val="36"/>
        </w:rPr>
      </w:pPr>
    </w:p>
    <w:p>
      <w:pPr>
        <w:pStyle w:val="40"/>
        <w:jc w:val="center"/>
      </w:pPr>
    </w:p>
    <w:p/>
    <w:p>
      <w:pPr>
        <w:pStyle w:val="21"/>
        <w:sectPr>
          <w:headerReference r:id="rId4" w:type="first"/>
          <w:footerReference r:id="rId6" w:type="first"/>
          <w:headerReference r:id="rId3" w:type="default"/>
          <w:footerReference r:id="rId5" w:type="default"/>
          <w:pgSz w:w="11907" w:h="16840"/>
          <w:pgMar w:top="1021" w:right="1247" w:bottom="1134" w:left="1644" w:header="907" w:footer="907" w:gutter="0"/>
          <w:pgNumType w:start="1"/>
          <w:cols w:space="720" w:num="1"/>
          <w:titlePg/>
          <w:docGrid w:linePitch="312" w:charSpace="0"/>
        </w:sectPr>
      </w:pPr>
    </w:p>
    <w:p>
      <w:pPr>
        <w:pStyle w:val="3"/>
        <w:numPr>
          <w:ilvl w:val="0"/>
          <w:numId w:val="2"/>
        </w:numPr>
        <w:jc w:val="both"/>
        <w:rPr>
          <w:sz w:val="44"/>
          <w:szCs w:val="44"/>
        </w:rPr>
      </w:pPr>
      <w:bookmarkStart w:id="0" w:name="_Toc120411791"/>
      <w:bookmarkStart w:id="1" w:name="_Toc28925"/>
      <w:bookmarkStart w:id="2" w:name="_Toc136229088"/>
      <w:bookmarkStart w:id="3" w:name="_Toc535814464"/>
      <w:bookmarkStart w:id="4" w:name="_Toc535815709"/>
      <w:r>
        <w:rPr>
          <w:rFonts w:hint="eastAsia"/>
          <w:sz w:val="44"/>
          <w:szCs w:val="44"/>
        </w:rPr>
        <w:t xml:space="preserve"> 竞争性谈判公告</w:t>
      </w:r>
      <w:bookmarkEnd w:id="0"/>
      <w:bookmarkEnd w:id="1"/>
      <w:bookmarkEnd w:id="2"/>
      <w:bookmarkEnd w:id="3"/>
      <w:bookmarkEnd w:id="4"/>
    </w:p>
    <w:p>
      <w:pPr>
        <w:ind w:left="1546"/>
      </w:pPr>
    </w:p>
    <w:p>
      <w:pPr>
        <w:pStyle w:val="3"/>
        <w:ind w:firstLine="480" w:firstLineChars="200"/>
        <w:jc w:val="both"/>
        <w:rPr>
          <w:rFonts w:cs="宋体"/>
          <w:b w:val="0"/>
          <w:bCs w:val="0"/>
        </w:rPr>
      </w:pPr>
      <w:r>
        <w:rPr>
          <w:rFonts w:hint="eastAsia" w:cs="宋体"/>
          <w:b w:val="0"/>
        </w:rPr>
        <w:t>黄石</w:t>
      </w:r>
      <w:r>
        <w:rPr>
          <w:rFonts w:hint="eastAsia" w:cs="宋体"/>
          <w:b w:val="0"/>
          <w:lang w:val="zh-CN"/>
        </w:rPr>
        <w:t>市中心医院</w:t>
      </w:r>
      <w:r>
        <w:rPr>
          <w:rFonts w:hint="eastAsia" w:cs="宋体"/>
          <w:b w:val="0"/>
        </w:rPr>
        <w:t>（中心院区、普爱院区）病媒生物防治（灭“四害”）服务</w:t>
      </w:r>
      <w:r>
        <w:rPr>
          <w:rFonts w:hint="eastAsia"/>
          <w:b w:val="0"/>
          <w:bCs w:val="0"/>
        </w:rPr>
        <w:t>进行竞争性谈判采购，欢迎符合资格条件的潜在供应商参与谈判。</w:t>
      </w:r>
    </w:p>
    <w:p>
      <w:pPr>
        <w:widowControl/>
        <w:numPr>
          <w:ilvl w:val="0"/>
          <w:numId w:val="3"/>
        </w:numPr>
        <w:adjustRightInd w:val="0"/>
        <w:snapToGrid w:val="0"/>
        <w:spacing w:after="156" w:afterLines="50" w:line="500" w:lineRule="exact"/>
        <w:ind w:firstLine="480" w:firstLineChars="200"/>
        <w:jc w:val="left"/>
        <w:rPr>
          <w:rFonts w:ascii="宋体" w:hAnsi="宋体" w:cs="宋体"/>
          <w:b/>
          <w:kern w:val="0"/>
          <w:sz w:val="24"/>
          <w:szCs w:val="24"/>
        </w:rPr>
      </w:pPr>
      <w:bookmarkStart w:id="5" w:name="_Toc381602681"/>
      <w:r>
        <w:rPr>
          <w:rFonts w:hint="eastAsia" w:ascii="宋体" w:hAnsi="宋体" w:cs="宋体"/>
          <w:b/>
          <w:kern w:val="0"/>
          <w:sz w:val="24"/>
          <w:szCs w:val="24"/>
        </w:rPr>
        <w:t>项目概况</w:t>
      </w:r>
      <w:bookmarkEnd w:id="5"/>
      <w:r>
        <w:rPr>
          <w:rFonts w:hint="eastAsia" w:ascii="宋体" w:hAnsi="宋体" w:cs="宋体"/>
          <w:b/>
          <w:kern w:val="0"/>
          <w:sz w:val="24"/>
          <w:szCs w:val="24"/>
        </w:rPr>
        <w:t>：</w:t>
      </w:r>
    </w:p>
    <w:p>
      <w:pPr>
        <w:widowControl/>
        <w:numPr>
          <w:ilvl w:val="0"/>
          <w:numId w:val="4"/>
        </w:numPr>
        <w:spacing w:line="360" w:lineRule="auto"/>
        <w:ind w:left="630"/>
        <w:jc w:val="left"/>
        <w:rPr>
          <w:rFonts w:ascii="宋体" w:hAnsi="宋体"/>
          <w:kern w:val="1"/>
          <w:sz w:val="24"/>
          <w:szCs w:val="24"/>
        </w:rPr>
      </w:pPr>
      <w:r>
        <w:rPr>
          <w:rFonts w:hint="eastAsia" w:ascii="宋体" w:hAnsi="宋体" w:cs="宋体"/>
          <w:kern w:val="0"/>
          <w:sz w:val="24"/>
          <w:szCs w:val="24"/>
        </w:rPr>
        <w:t>项目名</w:t>
      </w:r>
      <w:r>
        <w:rPr>
          <w:rFonts w:hint="eastAsia" w:ascii="宋体" w:hAnsi="宋体" w:cs="宋体"/>
          <w:sz w:val="24"/>
          <w:szCs w:val="24"/>
        </w:rPr>
        <w:t>称：</w:t>
      </w:r>
      <w:r>
        <w:rPr>
          <w:rFonts w:hint="eastAsia" w:ascii="宋体" w:hAnsi="宋体" w:cs="宋体"/>
          <w:bCs/>
          <w:sz w:val="24"/>
          <w:szCs w:val="24"/>
        </w:rPr>
        <w:t>黄石</w:t>
      </w:r>
      <w:r>
        <w:rPr>
          <w:rFonts w:hint="eastAsia" w:ascii="宋体" w:hAnsi="宋体" w:cs="宋体"/>
          <w:bCs/>
          <w:sz w:val="24"/>
          <w:szCs w:val="24"/>
          <w:lang w:val="zh-CN"/>
        </w:rPr>
        <w:t>市中心医院</w:t>
      </w:r>
      <w:r>
        <w:rPr>
          <w:rFonts w:hint="eastAsia" w:ascii="宋体" w:hAnsi="宋体" w:cs="宋体"/>
          <w:bCs/>
          <w:sz w:val="24"/>
          <w:szCs w:val="24"/>
        </w:rPr>
        <w:t>（中心院区、普爱院区）病媒生物防治</w:t>
      </w:r>
    </w:p>
    <w:p>
      <w:pPr>
        <w:widowControl/>
        <w:spacing w:line="360" w:lineRule="auto"/>
        <w:jc w:val="left"/>
        <w:rPr>
          <w:rFonts w:ascii="宋体" w:hAnsi="宋体"/>
          <w:kern w:val="1"/>
          <w:sz w:val="24"/>
          <w:szCs w:val="24"/>
        </w:rPr>
      </w:pPr>
      <w:r>
        <w:rPr>
          <w:rFonts w:hint="eastAsia" w:ascii="宋体" w:hAnsi="宋体" w:cs="宋体"/>
          <w:bCs/>
          <w:sz w:val="24"/>
          <w:szCs w:val="24"/>
        </w:rPr>
        <w:t>（灭“四害”）服务</w:t>
      </w:r>
    </w:p>
    <w:p>
      <w:pPr>
        <w:widowControl/>
        <w:numPr>
          <w:ilvl w:val="0"/>
          <w:numId w:val="4"/>
        </w:numPr>
        <w:spacing w:line="360" w:lineRule="auto"/>
        <w:ind w:left="630"/>
        <w:jc w:val="left"/>
        <w:rPr>
          <w:rFonts w:ascii="宋体" w:hAnsi="宋体" w:cs="宋体"/>
          <w:kern w:val="0"/>
          <w:sz w:val="24"/>
        </w:rPr>
      </w:pPr>
      <w:r>
        <w:rPr>
          <w:rFonts w:hint="eastAsia" w:ascii="宋体" w:hAnsi="宋体" w:cs="宋体"/>
          <w:kern w:val="0"/>
          <w:sz w:val="24"/>
        </w:rPr>
        <w:t>采购预算：10</w:t>
      </w:r>
      <w:r>
        <w:rPr>
          <w:rFonts w:hint="eastAsia" w:ascii="宋体" w:hAnsi="宋体"/>
          <w:kern w:val="1"/>
          <w:sz w:val="24"/>
        </w:rPr>
        <w:t>万元；</w:t>
      </w:r>
    </w:p>
    <w:p>
      <w:pPr>
        <w:widowControl/>
        <w:numPr>
          <w:ilvl w:val="0"/>
          <w:numId w:val="4"/>
        </w:numPr>
        <w:spacing w:line="360" w:lineRule="auto"/>
        <w:ind w:left="630"/>
        <w:jc w:val="left"/>
        <w:rPr>
          <w:rFonts w:ascii="宋体" w:hAnsi="宋体" w:cs="宋体"/>
          <w:sz w:val="24"/>
        </w:rPr>
      </w:pPr>
      <w:r>
        <w:rPr>
          <w:rFonts w:hint="eastAsia" w:ascii="宋体" w:hAnsi="宋体" w:cs="宋体"/>
          <w:kern w:val="0"/>
          <w:sz w:val="24"/>
        </w:rPr>
        <w:t>最高限价：10万元，供应商报价超过采购预算金额或最高限价的，</w:t>
      </w:r>
    </w:p>
    <w:p>
      <w:pPr>
        <w:widowControl/>
        <w:spacing w:line="360" w:lineRule="auto"/>
        <w:jc w:val="left"/>
        <w:rPr>
          <w:rFonts w:ascii="宋体" w:hAnsi="宋体" w:cs="宋体"/>
          <w:sz w:val="24"/>
        </w:rPr>
      </w:pPr>
      <w:r>
        <w:rPr>
          <w:rFonts w:hint="eastAsia" w:ascii="宋体" w:hAnsi="宋体" w:cs="宋体"/>
          <w:kern w:val="0"/>
          <w:sz w:val="24"/>
        </w:rPr>
        <w:t>其该包投标无效。</w:t>
      </w:r>
    </w:p>
    <w:p>
      <w:pPr>
        <w:widowControl/>
        <w:numPr>
          <w:ilvl w:val="0"/>
          <w:numId w:val="4"/>
        </w:numPr>
        <w:spacing w:line="360" w:lineRule="auto"/>
        <w:ind w:left="630"/>
        <w:jc w:val="left"/>
        <w:rPr>
          <w:rFonts w:ascii="宋体" w:hAnsi="宋体" w:cs="宋体"/>
          <w:sz w:val="24"/>
        </w:rPr>
      </w:pPr>
      <w:r>
        <w:rPr>
          <w:rFonts w:hint="eastAsia" w:ascii="宋体" w:hAnsi="宋体" w:cs="宋体"/>
          <w:sz w:val="24"/>
        </w:rPr>
        <w:t>服务期限2年。</w:t>
      </w:r>
    </w:p>
    <w:p>
      <w:pPr>
        <w:adjustRightInd w:val="0"/>
        <w:snapToGrid w:val="0"/>
        <w:spacing w:line="560" w:lineRule="exact"/>
        <w:ind w:firstLine="480" w:firstLineChars="200"/>
        <w:rPr>
          <w:rFonts w:ascii="宋体" w:hAnsi="宋体"/>
          <w:b/>
          <w:snapToGrid w:val="0"/>
          <w:kern w:val="0"/>
          <w:sz w:val="24"/>
        </w:rPr>
      </w:pPr>
      <w:r>
        <w:rPr>
          <w:rFonts w:hint="eastAsia" w:ascii="宋体" w:hAnsi="宋体"/>
          <w:b/>
          <w:snapToGrid w:val="0"/>
          <w:kern w:val="0"/>
          <w:sz w:val="24"/>
        </w:rPr>
        <w:t>二、供应商资格要求：</w:t>
      </w:r>
    </w:p>
    <w:p>
      <w:pPr>
        <w:widowControl/>
        <w:spacing w:line="360" w:lineRule="auto"/>
        <w:ind w:firstLine="480"/>
        <w:jc w:val="left"/>
        <w:rPr>
          <w:rFonts w:ascii="宋体" w:hAnsi="宋体" w:cs="宋体"/>
          <w:kern w:val="0"/>
          <w:sz w:val="24"/>
          <w:lang w:val="zh-CN"/>
        </w:rPr>
      </w:pPr>
      <w:r>
        <w:rPr>
          <w:rFonts w:hint="eastAsia" w:ascii="宋体" w:hAnsi="宋体" w:cs="宋体"/>
          <w:kern w:val="0"/>
          <w:sz w:val="24"/>
          <w:lang w:val="zh-CN"/>
        </w:rPr>
        <w:t>（一）供应商必须符合《政府采购法》第二十二条规定的条件；</w:t>
      </w:r>
    </w:p>
    <w:p>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1、具有独立承担民事责任的能力提供营业执照</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、具有良好的商业信誉和健全的财务会计制度；</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、具有履行合同所必需的设备和专业技术能力（</w:t>
      </w:r>
      <w:r>
        <w:rPr>
          <w:rFonts w:hint="eastAsia" w:ascii="宋体" w:hAnsi="宋体" w:cs="宋体"/>
          <w:sz w:val="24"/>
        </w:rPr>
        <w:t>以营业执照的经营范围为准</w:t>
      </w:r>
      <w:r>
        <w:rPr>
          <w:rFonts w:hint="eastAsia" w:ascii="宋体" w:hAnsi="宋体" w:cs="宋体"/>
          <w:kern w:val="0"/>
          <w:sz w:val="24"/>
          <w:lang w:val="zh-CN"/>
        </w:rPr>
        <w:t>）；</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、具有依法缴纳税收和社会保障资金的良好记录；</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5</w:t>
      </w:r>
      <w:r>
        <w:rPr>
          <w:rFonts w:hint="eastAsia" w:ascii="宋体" w:hAnsi="宋体" w:cs="宋体"/>
          <w:kern w:val="0"/>
          <w:sz w:val="24"/>
          <w:lang w:val="zh-CN"/>
        </w:rPr>
        <w:t>、参加政府采购活动前三年内，在经营活动中没有重大违法记录；</w:t>
      </w:r>
    </w:p>
    <w:p>
      <w:pPr>
        <w:widowControl/>
        <w:spacing w:line="360" w:lineRule="auto"/>
        <w:ind w:firstLine="960" w:firstLineChars="400"/>
        <w:jc w:val="left"/>
        <w:rPr>
          <w:rFonts w:ascii="宋体" w:hAnsi="宋体" w:cs="宋体"/>
          <w:kern w:val="0"/>
          <w:sz w:val="24"/>
          <w:lang w:val="hr-HR"/>
        </w:rPr>
      </w:pPr>
      <w:r>
        <w:rPr>
          <w:rFonts w:ascii="宋体" w:hAnsi="宋体" w:cs="宋体"/>
          <w:kern w:val="0"/>
          <w:sz w:val="24"/>
          <w:lang w:val="zh-CN"/>
        </w:rPr>
        <w:t>6</w:t>
      </w:r>
      <w:r>
        <w:rPr>
          <w:rFonts w:hint="eastAsia" w:ascii="宋体" w:hAnsi="宋体" w:cs="宋体"/>
          <w:kern w:val="0"/>
          <w:sz w:val="24"/>
          <w:lang w:val="zh-CN"/>
        </w:rPr>
        <w:t>、法律、行政法规规定的其他条件；</w:t>
      </w:r>
    </w:p>
    <w:p>
      <w:pPr>
        <w:widowControl/>
        <w:spacing w:line="360" w:lineRule="auto"/>
        <w:ind w:firstLine="48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zh-CN"/>
        </w:rPr>
        <w:t>二</w:t>
      </w:r>
      <w:r>
        <w:rPr>
          <w:rFonts w:hint="eastAsia" w:ascii="宋体" w:hAnsi="宋体" w:cs="宋体"/>
          <w:kern w:val="0"/>
          <w:sz w:val="24"/>
        </w:rPr>
        <w:t>）</w:t>
      </w:r>
      <w:r>
        <w:rPr>
          <w:rFonts w:hint="eastAsia" w:ascii="宋体" w:hAnsi="宋体" w:cs="宋体"/>
          <w:kern w:val="0"/>
          <w:sz w:val="24"/>
          <w:lang w:val="zh-CN"/>
        </w:rPr>
        <w:t>各包特定资格要求</w:t>
      </w:r>
      <w:r>
        <w:rPr>
          <w:rFonts w:hint="eastAsia" w:ascii="宋体" w:hAnsi="宋体" w:cs="宋体"/>
          <w:kern w:val="0"/>
          <w:sz w:val="24"/>
        </w:rPr>
        <w:t>：</w:t>
      </w:r>
    </w:p>
    <w:p>
      <w:pPr>
        <w:widowControl/>
        <w:spacing w:line="360" w:lineRule="auto"/>
        <w:ind w:firstLine="840"/>
        <w:jc w:val="left"/>
        <w:rPr>
          <w:rFonts w:ascii="宋体" w:hAnsi="宋体" w:cs="宋体"/>
          <w:kern w:val="0"/>
          <w:sz w:val="24"/>
        </w:rPr>
      </w:pPr>
      <w:r>
        <w:rPr>
          <w:rFonts w:hint="eastAsia" w:ascii="宋体" w:hAnsi="宋体" w:cs="宋体"/>
          <w:kern w:val="0"/>
          <w:sz w:val="24"/>
        </w:rPr>
        <w:t>1、供应商须提供“信用中国”网站(www.creditchina.gov.cn)失信被执行人、重大税收违法案件当事人名单和“中国政府采购”网站（www.ccgp.gov.cn）政府采购严重违法失信行为记录名单中的查询截图（以谈判公告发出后查询结果为准）；</w:t>
      </w:r>
    </w:p>
    <w:p>
      <w:pPr>
        <w:widowControl/>
        <w:spacing w:line="360" w:lineRule="auto"/>
        <w:ind w:firstLine="840"/>
        <w:jc w:val="left"/>
        <w:rPr>
          <w:rFonts w:ascii="宋体" w:hAnsi="宋体" w:cs="宋体"/>
          <w:kern w:val="0"/>
          <w:sz w:val="24"/>
        </w:rPr>
      </w:pPr>
      <w:r>
        <w:rPr>
          <w:rFonts w:hint="eastAsia" w:ascii="宋体" w:hAnsi="宋体" w:cs="宋体"/>
          <w:kern w:val="0"/>
          <w:sz w:val="24"/>
        </w:rPr>
        <w:t>2、本项目不接受联合体投标，项目执行过程中不允许转包、分包。</w:t>
      </w:r>
    </w:p>
    <w:p>
      <w:pPr>
        <w:widowControl/>
        <w:spacing w:line="360" w:lineRule="auto"/>
        <w:ind w:firstLine="480"/>
        <w:jc w:val="left"/>
        <w:rPr>
          <w:rFonts w:ascii="宋体" w:hAnsi="宋体" w:cs="宋体"/>
          <w:kern w:val="0"/>
          <w:sz w:val="24"/>
          <w:lang w:val="hr-HR"/>
        </w:rPr>
      </w:pPr>
      <w:r>
        <w:rPr>
          <w:rFonts w:hint="eastAsia" w:ascii="宋体" w:hAnsi="宋体" w:cs="宋体"/>
          <w:kern w:val="0"/>
          <w:sz w:val="24"/>
          <w:lang w:val="hr-HR"/>
        </w:rPr>
        <w:t>（三）如国家法律法规对市场准入有要求的还应符合相关规定。</w:t>
      </w:r>
    </w:p>
    <w:p>
      <w:pPr>
        <w:widowControl/>
        <w:spacing w:line="360" w:lineRule="auto"/>
        <w:ind w:firstLine="480"/>
        <w:jc w:val="left"/>
        <w:rPr>
          <w:rFonts w:ascii="宋体" w:hAnsi="宋体" w:cs="宋体"/>
          <w:kern w:val="0"/>
          <w:sz w:val="24"/>
        </w:rPr>
      </w:pPr>
      <w:r>
        <w:rPr>
          <w:rFonts w:hint="eastAsia" w:ascii="宋体" w:hAnsi="宋体" w:cs="宋体"/>
          <w:kern w:val="0"/>
          <w:sz w:val="24"/>
          <w:lang w:val="hr-HR"/>
        </w:rPr>
        <w:t>以上资格要求为本次招标供应商应具备的基本条件，参加各包投标的供应商必须满足资格要求中的对应各包的所有条款，并按照相关规定递交资格证明文件</w:t>
      </w:r>
      <w:r>
        <w:rPr>
          <w:rFonts w:hint="eastAsia" w:ascii="宋体" w:hAnsi="宋体" w:cs="宋体"/>
          <w:kern w:val="0"/>
          <w:sz w:val="24"/>
        </w:rPr>
        <w:t>。</w:t>
      </w:r>
    </w:p>
    <w:p>
      <w:pPr>
        <w:adjustRightInd w:val="0"/>
        <w:snapToGrid w:val="0"/>
        <w:spacing w:before="156" w:beforeLines="50" w:after="156" w:afterLines="50" w:line="560" w:lineRule="exact"/>
        <w:ind w:left="465"/>
        <w:rPr>
          <w:rFonts w:ascii="宋体" w:hAnsi="宋体"/>
          <w:b/>
          <w:snapToGrid w:val="0"/>
          <w:color w:val="000000" w:themeColor="text1"/>
          <w:kern w:val="0"/>
          <w:sz w:val="24"/>
        </w:rPr>
      </w:pPr>
      <w:bookmarkStart w:id="6" w:name="_Hlk49445075"/>
      <w:r>
        <w:rPr>
          <w:rFonts w:hint="eastAsia" w:ascii="宋体" w:hAnsi="宋体"/>
          <w:b/>
          <w:color w:val="000000" w:themeColor="text1"/>
          <w:sz w:val="24"/>
        </w:rPr>
        <w:t>三、</w:t>
      </w:r>
      <w:r>
        <w:rPr>
          <w:rFonts w:hint="eastAsia" w:ascii="宋体" w:hAnsi="宋体" w:cs="宋体"/>
          <w:b/>
          <w:color w:val="000000" w:themeColor="text1"/>
          <w:sz w:val="24"/>
        </w:rPr>
        <w:t>报名方式：</w:t>
      </w:r>
    </w:p>
    <w:p>
      <w:pPr>
        <w:widowControl/>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（一）报名时间：</w:t>
      </w:r>
      <w:r>
        <w:rPr>
          <w:color w:val="000000" w:themeColor="text1"/>
          <w:sz w:val="24"/>
          <w:szCs w:val="24"/>
        </w:rPr>
        <w:t>202</w:t>
      </w:r>
      <w:r>
        <w:rPr>
          <w:rFonts w:hint="eastAsia"/>
          <w:color w:val="000000" w:themeColor="text1"/>
          <w:sz w:val="24"/>
          <w:szCs w:val="24"/>
        </w:rPr>
        <w:t xml:space="preserve">3年 </w:t>
      </w:r>
      <w:r>
        <w:rPr>
          <w:rFonts w:hint="eastAsia"/>
          <w:color w:val="000000" w:themeColor="text1"/>
          <w:sz w:val="24"/>
          <w:szCs w:val="24"/>
          <w:lang w:val="en-US" w:eastAsia="zh-CN"/>
        </w:rPr>
        <w:t>12</w:t>
      </w:r>
      <w:r>
        <w:rPr>
          <w:rFonts w:hint="eastAsia"/>
          <w:color w:val="000000" w:themeColor="text1"/>
          <w:sz w:val="24"/>
          <w:szCs w:val="24"/>
        </w:rPr>
        <w:t xml:space="preserve"> 月 </w:t>
      </w:r>
      <w:r>
        <w:rPr>
          <w:rFonts w:hint="eastAsia"/>
          <w:color w:val="000000" w:themeColor="text1"/>
          <w:sz w:val="24"/>
          <w:szCs w:val="24"/>
          <w:lang w:val="en-US" w:eastAsia="zh-CN"/>
        </w:rPr>
        <w:t>14</w:t>
      </w:r>
      <w:r>
        <w:rPr>
          <w:rFonts w:hint="eastAsia"/>
          <w:color w:val="000000" w:themeColor="text1"/>
          <w:sz w:val="24"/>
          <w:szCs w:val="24"/>
        </w:rPr>
        <w:t xml:space="preserve"> 日至</w:t>
      </w:r>
      <w:r>
        <w:rPr>
          <w:color w:val="000000" w:themeColor="text1"/>
          <w:sz w:val="24"/>
          <w:szCs w:val="24"/>
        </w:rPr>
        <w:t>202</w:t>
      </w:r>
      <w:r>
        <w:rPr>
          <w:rFonts w:hint="eastAsia"/>
          <w:color w:val="000000" w:themeColor="text1"/>
          <w:sz w:val="24"/>
          <w:szCs w:val="24"/>
        </w:rPr>
        <w:t>3年</w:t>
      </w:r>
      <w:r>
        <w:rPr>
          <w:rFonts w:hint="eastAsia"/>
          <w:color w:val="000000" w:themeColor="text1"/>
          <w:sz w:val="24"/>
          <w:szCs w:val="24"/>
          <w:lang w:val="en-US" w:eastAsia="zh-CN"/>
        </w:rPr>
        <w:t>12</w:t>
      </w:r>
      <w:r>
        <w:rPr>
          <w:rFonts w:hint="eastAsia"/>
          <w:color w:val="000000" w:themeColor="text1"/>
          <w:sz w:val="24"/>
          <w:szCs w:val="24"/>
        </w:rPr>
        <w:t xml:space="preserve">  月 </w:t>
      </w:r>
      <w:r>
        <w:rPr>
          <w:rFonts w:hint="eastAsia"/>
          <w:color w:val="000000" w:themeColor="text1"/>
          <w:sz w:val="24"/>
          <w:szCs w:val="24"/>
          <w:lang w:val="en-US" w:eastAsia="zh-CN"/>
        </w:rPr>
        <w:t>21</w:t>
      </w:r>
      <w:r>
        <w:rPr>
          <w:rFonts w:hint="eastAsia"/>
          <w:color w:val="000000" w:themeColor="text1"/>
          <w:sz w:val="24"/>
          <w:szCs w:val="24"/>
        </w:rPr>
        <w:t xml:space="preserve"> 日（上午</w:t>
      </w:r>
      <w:r>
        <w:rPr>
          <w:color w:val="000000" w:themeColor="text1"/>
          <w:sz w:val="24"/>
          <w:szCs w:val="24"/>
        </w:rPr>
        <w:t>8</w:t>
      </w:r>
      <w:r>
        <w:rPr>
          <w:rFonts w:hint="eastAsia"/>
          <w:color w:val="000000" w:themeColor="text1"/>
          <w:sz w:val="24"/>
          <w:szCs w:val="24"/>
        </w:rPr>
        <w:t>：</w:t>
      </w:r>
      <w:r>
        <w:rPr>
          <w:color w:val="000000" w:themeColor="text1"/>
          <w:sz w:val="24"/>
          <w:szCs w:val="24"/>
        </w:rPr>
        <w:t>30-12</w:t>
      </w:r>
      <w:r>
        <w:rPr>
          <w:rFonts w:hint="eastAsia"/>
          <w:color w:val="000000" w:themeColor="text1"/>
          <w:sz w:val="24"/>
          <w:szCs w:val="24"/>
        </w:rPr>
        <w:t>：</w:t>
      </w:r>
      <w:r>
        <w:rPr>
          <w:color w:val="000000" w:themeColor="text1"/>
          <w:sz w:val="24"/>
          <w:szCs w:val="24"/>
        </w:rPr>
        <w:t>00</w:t>
      </w:r>
      <w:r>
        <w:rPr>
          <w:rFonts w:hint="eastAsia"/>
          <w:color w:val="000000" w:themeColor="text1"/>
          <w:sz w:val="24"/>
          <w:szCs w:val="24"/>
        </w:rPr>
        <w:t>，下午</w:t>
      </w:r>
      <w:r>
        <w:rPr>
          <w:color w:val="000000" w:themeColor="text1"/>
          <w:sz w:val="24"/>
          <w:szCs w:val="24"/>
        </w:rPr>
        <w:t>14</w:t>
      </w:r>
      <w:r>
        <w:rPr>
          <w:rFonts w:hint="eastAsia"/>
          <w:color w:val="000000" w:themeColor="text1"/>
          <w:sz w:val="24"/>
          <w:szCs w:val="24"/>
        </w:rPr>
        <w:t>：</w:t>
      </w:r>
      <w:r>
        <w:rPr>
          <w:color w:val="000000" w:themeColor="text1"/>
          <w:sz w:val="24"/>
          <w:szCs w:val="24"/>
        </w:rPr>
        <w:t>30-17</w:t>
      </w:r>
      <w:r>
        <w:rPr>
          <w:rFonts w:hint="eastAsia"/>
          <w:color w:val="000000" w:themeColor="text1"/>
          <w:sz w:val="24"/>
          <w:szCs w:val="24"/>
        </w:rPr>
        <w:t>：</w:t>
      </w:r>
      <w:r>
        <w:rPr>
          <w:color w:val="000000" w:themeColor="text1"/>
          <w:sz w:val="24"/>
          <w:szCs w:val="24"/>
        </w:rPr>
        <w:t>00</w:t>
      </w:r>
      <w:r>
        <w:rPr>
          <w:rFonts w:hint="eastAsia"/>
          <w:color w:val="000000" w:themeColor="text1"/>
          <w:sz w:val="24"/>
          <w:szCs w:val="24"/>
        </w:rPr>
        <w:t>，</w:t>
      </w:r>
      <w:r>
        <w:rPr>
          <w:rFonts w:hint="eastAsia" w:ascii="宋体" w:hAnsi="宋体" w:cs="宋体"/>
          <w:color w:val="000000" w:themeColor="text1"/>
          <w:kern w:val="0"/>
          <w:sz w:val="24"/>
        </w:rPr>
        <w:t>（北京时间)每天上午09:00～12:00、下午14:00～17:00，</w:t>
      </w:r>
      <w:r>
        <w:rPr>
          <w:rFonts w:hint="eastAsia" w:ascii="宋体" w:hAnsi="宋体" w:cs="宋体"/>
          <w:color w:val="000000" w:themeColor="text1"/>
          <w:kern w:val="0"/>
          <w:sz w:val="24"/>
          <w:lang w:val="hr-HR"/>
        </w:rPr>
        <w:t>（节假日除外）</w:t>
      </w:r>
      <w:r>
        <w:rPr>
          <w:rFonts w:hint="eastAsia" w:ascii="宋体" w:hAnsi="宋体" w:cs="宋体"/>
          <w:color w:val="000000" w:themeColor="text1"/>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（二）获取地点：黄石市天津路141号市中心医院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bookmarkStart w:id="94" w:name="_GoBack"/>
      <w:bookmarkEnd w:id="94"/>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（三）获取方式：符合资格的供应商应当在获取时间内，携带以下资格证明材料报名</w:t>
      </w:r>
    </w:p>
    <w:p>
      <w:pPr>
        <w:spacing w:line="360" w:lineRule="auto"/>
        <w:ind w:firstLine="480" w:firstLineChars="200"/>
        <w:rPr>
          <w:rFonts w:ascii="宋体" w:hAnsi="宋体"/>
          <w:sz w:val="24"/>
        </w:rPr>
      </w:pPr>
      <w:r>
        <w:rPr>
          <w:rFonts w:hint="eastAsia" w:ascii="宋体" w:hAnsi="宋体"/>
          <w:sz w:val="24"/>
        </w:rPr>
        <w:t>1.营业执照(三证合一)（复印件加盖公章）；</w:t>
      </w:r>
    </w:p>
    <w:p>
      <w:pPr>
        <w:spacing w:line="360" w:lineRule="auto"/>
        <w:ind w:firstLine="480" w:firstLineChars="200"/>
        <w:rPr>
          <w:rFonts w:ascii="宋体" w:hAnsi="宋体"/>
          <w:sz w:val="24"/>
        </w:rPr>
      </w:pPr>
      <w:r>
        <w:rPr>
          <w:rFonts w:hint="eastAsia" w:ascii="宋体" w:hAnsi="宋体"/>
          <w:sz w:val="24"/>
        </w:rPr>
        <w:t xml:space="preserve">2.法定代表人自己领取的，凭法定代表人身份证明书及法定代表人身份证原件领取。 </w:t>
      </w:r>
    </w:p>
    <w:p>
      <w:pPr>
        <w:spacing w:line="360" w:lineRule="auto"/>
        <w:ind w:firstLine="480" w:firstLineChars="200"/>
        <w:rPr>
          <w:rFonts w:ascii="宋体" w:hAnsi="宋体"/>
          <w:sz w:val="24"/>
        </w:rPr>
      </w:pPr>
      <w:r>
        <w:rPr>
          <w:rFonts w:hint="eastAsia" w:ascii="宋体" w:hAnsi="宋体"/>
          <w:sz w:val="24"/>
        </w:rPr>
        <w:t xml:space="preserve">3.法定代表人委托他人领取的，凭法定代表人授权书及受托人身份证原件领取。 </w:t>
      </w:r>
    </w:p>
    <w:p>
      <w:pPr>
        <w:spacing w:line="360" w:lineRule="auto"/>
        <w:ind w:firstLine="480" w:firstLineChars="200"/>
        <w:rPr>
          <w:rFonts w:ascii="宋体" w:hAnsi="宋体"/>
          <w:sz w:val="24"/>
        </w:rPr>
      </w:pPr>
      <w:r>
        <w:rPr>
          <w:rFonts w:hint="eastAsia" w:ascii="宋体" w:hAnsi="宋体"/>
          <w:sz w:val="24"/>
        </w:rPr>
        <w:t>4.参加政府采购活动前三年内，在经营活动中没有重大违法记录证明；</w:t>
      </w:r>
    </w:p>
    <w:p>
      <w:pPr>
        <w:spacing w:line="360" w:lineRule="auto"/>
        <w:ind w:firstLine="480" w:firstLineChars="200"/>
        <w:rPr>
          <w:rFonts w:ascii="宋体" w:hAnsi="宋体"/>
          <w:sz w:val="24"/>
        </w:rPr>
      </w:pPr>
      <w:r>
        <w:rPr>
          <w:rFonts w:hint="eastAsia" w:ascii="宋体" w:hAnsi="宋体"/>
          <w:sz w:val="24"/>
        </w:rPr>
        <w:t>5.提供“信用中国”网站(www.creditchina.gov.cn)失信被执行人、重大税收违法案件当事人名单和“中国政府采购”网站（www.ccgp.gov.cn）政府采购严重违法失信行为记录名单</w:t>
      </w:r>
      <w:r>
        <w:rPr>
          <w:rFonts w:hint="eastAsia" w:ascii="宋体" w:hAnsi="宋体" w:cs="宋体"/>
          <w:kern w:val="0"/>
          <w:sz w:val="24"/>
        </w:rPr>
        <w:t>中的查询截图（以公告发出后查询结果为准）</w:t>
      </w:r>
      <w:r>
        <w:rPr>
          <w:rFonts w:hint="eastAsia" w:ascii="宋体" w:hAnsi="宋体"/>
          <w:sz w:val="24"/>
        </w:rPr>
        <w:t>；</w:t>
      </w:r>
    </w:p>
    <w:p>
      <w:pPr>
        <w:widowControl/>
        <w:spacing w:line="360" w:lineRule="auto"/>
        <w:ind w:firstLine="480" w:firstLineChars="200"/>
        <w:jc w:val="left"/>
        <w:rPr>
          <w:sz w:val="24"/>
        </w:rPr>
      </w:pPr>
      <w:r>
        <w:rPr>
          <w:rFonts w:hint="eastAsia" w:ascii="宋体" w:hAnsi="宋体"/>
          <w:sz w:val="24"/>
        </w:rPr>
        <w:t>6.</w:t>
      </w:r>
      <w:r>
        <w:rPr>
          <w:rFonts w:hint="eastAsia" w:ascii="宋体" w:hAnsi="宋体" w:cs="宋体"/>
          <w:kern w:val="0"/>
          <w:sz w:val="24"/>
        </w:rPr>
        <w:t>近三个月纳税凭证、缴纳社保情况。</w:t>
      </w:r>
    </w:p>
    <w:p>
      <w:pPr>
        <w:spacing w:line="360" w:lineRule="auto"/>
        <w:ind w:firstLine="480" w:firstLineChars="200"/>
        <w:rPr>
          <w:rFonts w:ascii="宋体" w:hAnsi="宋体"/>
          <w:sz w:val="24"/>
        </w:rPr>
      </w:pPr>
      <w:r>
        <w:rPr>
          <w:rFonts w:hint="eastAsia" w:ascii="宋体" w:hAnsi="宋体"/>
          <w:sz w:val="24"/>
        </w:rPr>
        <w:t>7.供应商资格要求的其他证明资料；</w:t>
      </w:r>
    </w:p>
    <w:p>
      <w:pPr>
        <w:widowControl/>
        <w:spacing w:line="360" w:lineRule="auto"/>
        <w:ind w:firstLine="480"/>
        <w:jc w:val="left"/>
        <w:rPr>
          <w:rFonts w:ascii="宋体" w:hAnsi="宋体"/>
          <w:b/>
          <w:bCs/>
          <w:sz w:val="24"/>
        </w:rPr>
      </w:pPr>
      <w:r>
        <w:rPr>
          <w:rFonts w:hint="eastAsia" w:ascii="宋体" w:hAnsi="宋体"/>
          <w:b/>
          <w:bCs/>
          <w:sz w:val="24"/>
        </w:rPr>
        <w:t>以上报名材料须提供原件备查，复印件加盖公章后需装订成册</w:t>
      </w:r>
      <w:r>
        <w:rPr>
          <w:rFonts w:hint="eastAsia" w:ascii="宋体" w:hAnsi="宋体"/>
          <w:sz w:val="24"/>
        </w:rPr>
        <w:t>，</w:t>
      </w:r>
      <w:r>
        <w:rPr>
          <w:rFonts w:hint="eastAsia" w:ascii="宋体" w:hAnsi="宋体"/>
          <w:b/>
          <w:bCs/>
          <w:sz w:val="24"/>
        </w:rPr>
        <w:t>未按要求提供资料的供应商将被拒绝。</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adjustRightInd w:val="0"/>
        <w:spacing w:line="400" w:lineRule="exact"/>
        <w:ind w:firstLine="480"/>
        <w:rPr>
          <w:rFonts w:ascii="宋体" w:hAnsi="宋体" w:cs="宋体"/>
          <w:bCs/>
          <w:kern w:val="0"/>
          <w:sz w:val="24"/>
          <w:szCs w:val="24"/>
        </w:rPr>
      </w:pPr>
      <w:r>
        <w:rPr>
          <w:rFonts w:hint="eastAsia" w:ascii="宋体" w:hAnsi="宋体" w:cs="宋体"/>
          <w:bCs/>
          <w:kern w:val="0"/>
          <w:sz w:val="24"/>
          <w:szCs w:val="24"/>
        </w:rPr>
        <w:t>联 系 人：</w:t>
      </w:r>
    </w:p>
    <w:p>
      <w:pPr>
        <w:adjustRightInd w:val="0"/>
        <w:spacing w:line="400" w:lineRule="exact"/>
        <w:ind w:firstLine="480"/>
        <w:rPr>
          <w:sz w:val="24"/>
          <w:szCs w:val="24"/>
        </w:rPr>
      </w:pPr>
      <w:r>
        <w:rPr>
          <w:rFonts w:hint="eastAsia"/>
          <w:sz w:val="24"/>
          <w:szCs w:val="24"/>
        </w:rPr>
        <w:t>电  话：</w:t>
      </w:r>
    </w:p>
    <w:p>
      <w:pPr>
        <w:widowControl/>
        <w:spacing w:line="360" w:lineRule="auto"/>
        <w:ind w:firstLine="480" w:firstLineChars="200"/>
        <w:jc w:val="left"/>
        <w:rPr>
          <w:rFonts w:ascii="宋体" w:hAnsi="宋体" w:cs="宋体"/>
          <w:sz w:val="24"/>
        </w:rPr>
      </w:pPr>
      <w:r>
        <w:rPr>
          <w:rFonts w:hint="eastAsia" w:ascii="宋体" w:hAnsi="宋体" w:cs="宋体"/>
          <w:b/>
          <w:kern w:val="0"/>
          <w:sz w:val="24"/>
        </w:rPr>
        <w:t>六、信息发布媒体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官网（https://www.hszxyy.com.cn/news/128/）</w:t>
      </w:r>
    </w:p>
    <w:bookmarkEnd w:id="6"/>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szCs w:val="24"/>
        </w:rPr>
        <w:t xml:space="preserve">                                              </w:t>
      </w:r>
      <w:r>
        <w:rPr>
          <w:rFonts w:hint="eastAsia" w:ascii="宋体" w:hAnsi="宋体" w:cs="宋体"/>
          <w:kern w:val="0"/>
          <w:sz w:val="24"/>
          <w:szCs w:val="24"/>
          <w:lang w:val="zh-CN"/>
        </w:rPr>
        <w:t>黄石市中心</w:t>
      </w:r>
      <w:r>
        <w:rPr>
          <w:rFonts w:hint="eastAsia" w:ascii="宋体" w:hAnsi="宋体" w:cs="宋体"/>
          <w:kern w:val="0"/>
          <w:sz w:val="24"/>
          <w:lang w:val="zh-CN"/>
        </w:rPr>
        <w:t>医院</w:t>
      </w:r>
    </w:p>
    <w:p>
      <w:pPr>
        <w:widowControl/>
        <w:wordWrap w:val="0"/>
        <w:spacing w:line="360" w:lineRule="auto"/>
        <w:jc w:val="center"/>
        <w:rPr>
          <w:rFonts w:ascii="宋体" w:hAnsi="宋体" w:cs="宋体"/>
          <w:kern w:val="0"/>
          <w:sz w:val="44"/>
          <w:szCs w:val="44"/>
        </w:rPr>
      </w:pPr>
      <w:r>
        <w:rPr>
          <w:rFonts w:hint="eastAsia" w:ascii="宋体" w:hAnsi="宋体" w:cs="宋体"/>
          <w:kern w:val="0"/>
          <w:sz w:val="24"/>
        </w:rPr>
        <w:t xml:space="preserve">                                             2023年12月</w:t>
      </w:r>
      <w:bookmarkStart w:id="7" w:name="_Toc120411792"/>
      <w:bookmarkStart w:id="8" w:name="_Toc136229089"/>
      <w:r>
        <w:rPr>
          <w:rFonts w:hint="eastAsia" w:ascii="宋体" w:hAnsi="宋体" w:cs="宋体"/>
          <w:kern w:val="0"/>
          <w:sz w:val="24"/>
          <w:lang w:val="en-US" w:eastAsia="zh-CN"/>
        </w:rPr>
        <w:t>14</w:t>
      </w:r>
      <w:r>
        <w:rPr>
          <w:rFonts w:hint="eastAsia" w:ascii="宋体" w:hAnsi="宋体" w:cs="宋体"/>
          <w:kern w:val="0"/>
          <w:sz w:val="24"/>
        </w:rPr>
        <w:t xml:space="preserve">  日</w:t>
      </w:r>
      <w:r>
        <w:br w:type="page"/>
      </w:r>
      <w:bookmarkStart w:id="9" w:name="_Toc10386"/>
      <w:r>
        <w:rPr>
          <w:sz w:val="44"/>
          <w:szCs w:val="44"/>
        </w:rPr>
        <w:t>第二章  供应商须知</w:t>
      </w:r>
      <w:bookmarkEnd w:id="7"/>
      <w:bookmarkEnd w:id="8"/>
      <w:bookmarkEnd w:id="9"/>
    </w:p>
    <w:p>
      <w:pPr>
        <w:pStyle w:val="3"/>
      </w:pPr>
      <w:bookmarkStart w:id="10" w:name="_Toc8390"/>
      <w:r>
        <w:rPr>
          <w:rFonts w:hint="eastAsia"/>
        </w:rPr>
        <w:t>一、供应商须知前附表</w:t>
      </w:r>
      <w:bookmarkEnd w:id="10"/>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6"/>
        <w:tblpPr w:leftFromText="180" w:rightFromText="180" w:vertAnchor="text" w:horzAnchor="page" w:tblpX="1353" w:tblpY="497"/>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6375"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6375" w:type="dxa"/>
            <w:vAlign w:val="center"/>
          </w:tcPr>
          <w:p>
            <w:pPr>
              <w:spacing w:line="300" w:lineRule="exact"/>
              <w:rPr>
                <w:rFonts w:ascii="宋体" w:hAnsi="宋体"/>
                <w:szCs w:val="21"/>
              </w:rPr>
            </w:pPr>
            <w:r>
              <w:rPr>
                <w:rFonts w:hint="eastAsia" w:ascii="宋体" w:hAnsi="宋体" w:cs="宋体"/>
                <w:szCs w:val="21"/>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6375" w:type="dxa"/>
          </w:tcPr>
          <w:p>
            <w:pPr>
              <w:widowControl/>
              <w:jc w:val="left"/>
              <w:rPr>
                <w:szCs w:val="21"/>
              </w:rPr>
            </w:pPr>
          </w:p>
          <w:p>
            <w:pPr>
              <w:widowControl/>
              <w:jc w:val="left"/>
              <w:rPr>
                <w:rFonts w:ascii="宋体" w:hAnsi="宋体"/>
                <w:szCs w:val="21"/>
              </w:rPr>
            </w:pPr>
            <w:r>
              <w:rPr>
                <w:rFonts w:hint="eastAsia" w:ascii="宋体" w:hAnsi="宋体" w:cs="宋体"/>
                <w:bCs/>
                <w:szCs w:val="21"/>
              </w:rPr>
              <w:t>黄石</w:t>
            </w:r>
            <w:r>
              <w:rPr>
                <w:rFonts w:hint="eastAsia" w:ascii="宋体" w:hAnsi="宋体" w:cs="宋体"/>
                <w:bCs/>
                <w:szCs w:val="21"/>
                <w:lang w:val="zh-CN"/>
              </w:rPr>
              <w:t>市中心医院</w:t>
            </w:r>
            <w:r>
              <w:rPr>
                <w:rFonts w:hint="eastAsia" w:ascii="宋体" w:hAnsi="宋体" w:cs="宋体"/>
                <w:bCs/>
                <w:szCs w:val="21"/>
              </w:rPr>
              <w:t>（中心院区、普爱院区）病媒生物防治灭“四害”）服务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6375" w:type="dxa"/>
            <w:vAlign w:val="center"/>
          </w:tcPr>
          <w:p>
            <w:pPr>
              <w:spacing w:line="300" w:lineRule="exact"/>
              <w:rPr>
                <w:rFonts w:ascii="宋体" w:hAnsi="宋体"/>
                <w:szCs w:val="21"/>
              </w:rPr>
            </w:pPr>
            <w:r>
              <w:rPr>
                <w:rFonts w:hint="eastAsia" w:ascii="宋体" w:hAnsi="宋体" w:cs="宋体"/>
                <w:szCs w:val="21"/>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6375" w:type="dxa"/>
            <w:vAlign w:val="center"/>
          </w:tcPr>
          <w:p>
            <w:pPr>
              <w:widowControl/>
              <w:jc w:val="left"/>
              <w:rPr>
                <w:rFonts w:ascii="宋体" w:hAnsi="宋体"/>
                <w:szCs w:val="21"/>
              </w:rPr>
            </w:pPr>
            <w:r>
              <w:rPr>
                <w:rFonts w:hint="eastAsia" w:ascii="宋体" w:hAnsi="宋体" w:cs="宋体"/>
                <w:bCs/>
                <w:szCs w:val="21"/>
              </w:rPr>
              <w:t>黄石</w:t>
            </w:r>
            <w:r>
              <w:rPr>
                <w:rFonts w:hint="eastAsia" w:ascii="宋体" w:hAnsi="宋体" w:cs="宋体"/>
                <w:bCs/>
                <w:szCs w:val="21"/>
                <w:lang w:val="zh-CN"/>
              </w:rPr>
              <w:t>市中心医院</w:t>
            </w:r>
            <w:r>
              <w:rPr>
                <w:rFonts w:hint="eastAsia" w:ascii="宋体" w:hAnsi="宋体" w:cs="宋体"/>
                <w:bCs/>
                <w:szCs w:val="21"/>
              </w:rPr>
              <w:t>（中心院区、普爱院区）病媒生物防治灭“四害”）服务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6375"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31"/>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6375"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6375" w:type="dxa"/>
            <w:vAlign w:val="center"/>
          </w:tcPr>
          <w:p>
            <w:pPr>
              <w:pStyle w:val="31"/>
              <w:spacing w:line="320" w:lineRule="exact"/>
              <w:rPr>
                <w:rFonts w:ascii="宋体" w:hAnsi="宋体"/>
                <w:kern w:val="2"/>
                <w:sz w:val="21"/>
                <w:szCs w:val="21"/>
                <w:lang w:eastAsia="zh-CN"/>
              </w:rPr>
            </w:pPr>
            <w:r>
              <w:rPr>
                <w:rFonts w:hint="eastAsia" w:ascii="宋体" w:hAnsi="宋体"/>
                <w:kern w:val="2"/>
                <w:sz w:val="21"/>
                <w:szCs w:val="21"/>
                <w:lang w:eastAsia="zh-CN"/>
              </w:rPr>
              <w:t>详见第一章谈判公告“二、供应商资格及要求”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31"/>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6375"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31"/>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31"/>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6375" w:type="dxa"/>
          </w:tcPr>
          <w:p>
            <w:pPr>
              <w:pStyle w:val="31"/>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31"/>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6375"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6375"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6375"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6375"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6375"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，电子版（响应文件正本盖章扫描U盘存储）一份。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6375"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5"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6375"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6375"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6375" w:type="dxa"/>
            <w:vAlign w:val="center"/>
          </w:tcPr>
          <w:p>
            <w:pPr>
              <w:pStyle w:val="3"/>
              <w:jc w:val="both"/>
              <w:rPr>
                <w:rFonts w:cs="宋体"/>
                <w:szCs w:val="21"/>
              </w:rPr>
            </w:pPr>
            <w:r>
              <w:rPr>
                <w:rFonts w:hint="eastAsia" w:cs="宋体"/>
                <w:b w:val="0"/>
                <w:bCs w:val="0"/>
                <w:sz w:val="21"/>
                <w:szCs w:val="21"/>
              </w:rPr>
              <w:t>详见第一章《</w:t>
            </w:r>
            <w:r>
              <w:rPr>
                <w:rFonts w:hint="eastAsia"/>
                <w:b w:val="0"/>
                <w:bCs w:val="0"/>
                <w:sz w:val="21"/>
                <w:szCs w:val="21"/>
              </w:rPr>
              <w:t>竞争性谈判公告</w:t>
            </w:r>
            <w:r>
              <w:rPr>
                <w:rFonts w:hint="eastAsia" w:cs="宋体"/>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6375" w:type="dxa"/>
            <w:vAlign w:val="center"/>
          </w:tcPr>
          <w:p>
            <w:pPr>
              <w:spacing w:line="300" w:lineRule="exact"/>
              <w:rPr>
                <w:rFonts w:ascii="宋体" w:hAnsi="宋体" w:cs="宋体"/>
                <w:szCs w:val="21"/>
              </w:rPr>
            </w:pPr>
            <w:r>
              <w:rPr>
                <w:rFonts w:hint="eastAsia" w:ascii="宋体" w:hAnsi="宋体" w:cs="宋体"/>
                <w:szCs w:val="21"/>
              </w:rPr>
              <w:t>详见第一章《</w:t>
            </w:r>
            <w:r>
              <w:rPr>
                <w:rFonts w:hint="eastAsia"/>
                <w:szCs w:val="21"/>
              </w:rPr>
              <w:t>竞争性谈判公告</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6375"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3人或3人以上单数组成，</w:t>
            </w: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6375" w:type="dxa"/>
            <w:vAlign w:val="center"/>
          </w:tcPr>
          <w:p>
            <w:pPr>
              <w:pStyle w:val="30"/>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按照第1种情形规定确定提交最终报价供应商</w:t>
            </w:r>
            <w:r>
              <w:rPr>
                <w:sz w:val="21"/>
                <w:szCs w:val="21"/>
              </w:rPr>
              <w:t xml:space="preserve"> </w:t>
            </w:r>
          </w:p>
          <w:p>
            <w:pPr>
              <w:pStyle w:val="30"/>
            </w:pPr>
            <w:r>
              <w:rPr>
                <w:rFonts w:hint="eastAsia"/>
                <w:sz w:val="21"/>
                <w:szCs w:val="21"/>
              </w:rPr>
              <w:t>□按照第2种情形规定确定提交最终报价供应商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6375"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6375"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w:t>
            </w:r>
            <w:r>
              <w:rPr>
                <w:rFonts w:ascii="宋体" w:hAnsi="宋体" w:cs="Arial"/>
                <w:kern w:val="0"/>
                <w:szCs w:val="21"/>
              </w:rPr>
              <w:t>最</w:t>
            </w:r>
            <w:r>
              <w:rPr>
                <w:rFonts w:hint="eastAsia" w:ascii="宋体" w:hAnsi="宋体" w:cs="Arial"/>
                <w:kern w:val="0"/>
                <w:szCs w:val="21"/>
              </w:rPr>
              <w:t>终</w:t>
            </w:r>
            <w:r>
              <w:rPr>
                <w:rFonts w:hint="eastAsia" w:ascii="宋体" w:hAnsi="宋体"/>
                <w:szCs w:val="21"/>
              </w:rPr>
              <w:t>报价排序由底到高的原则确定成交供应商</w:t>
            </w:r>
            <w:r>
              <w:rPr>
                <w:rFonts w:ascii="宋体" w:hAnsi="宋体" w:cs="Arial"/>
                <w:kern w:val="0"/>
                <w:szCs w:val="21"/>
              </w:rPr>
              <w:t>，</w:t>
            </w:r>
            <w:r>
              <w:rPr>
                <w:rFonts w:hint="eastAsia" w:ascii="宋体" w:hAnsi="宋体" w:cs="Arial"/>
                <w:kern w:val="0"/>
                <w:szCs w:val="21"/>
              </w:rPr>
              <w:t>以最低报价为成交供应商。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6375" w:type="dxa"/>
            <w:vAlign w:val="center"/>
          </w:tcPr>
          <w:p>
            <w:pPr>
              <w:pStyle w:val="7"/>
              <w:jc w:val="left"/>
              <w:rPr>
                <w:rFonts w:ascii="宋体" w:hAnsi="宋体" w:cs="宋体"/>
                <w:sz w:val="21"/>
                <w:szCs w:val="21"/>
              </w:rPr>
            </w:pPr>
            <w:r>
              <w:rPr>
                <w:rFonts w:hint="eastAsia" w:ascii="宋体" w:hAnsi="宋体" w:cs="宋体"/>
                <w:kern w:val="0"/>
                <w:sz w:val="21"/>
                <w:szCs w:val="21"/>
                <w:lang w:val="zh-CN"/>
              </w:rPr>
              <w:t>黄石市中心医院</w:t>
            </w:r>
            <w:r>
              <w:rPr>
                <w:rFonts w:hint="eastAsia" w:ascii="宋体" w:hAnsi="宋体" w:cs="宋体"/>
                <w:kern w:val="0"/>
                <w:sz w:val="21"/>
                <w:szCs w:val="21"/>
              </w:rPr>
              <w:t>官网（https://www.hszxyy.com.cn/news/128/）</w:t>
            </w:r>
          </w:p>
          <w:p>
            <w:pPr>
              <w:spacing w:line="300" w:lineRule="exact"/>
              <w:rPr>
                <w:rFonts w:ascii="宋体" w:hAnsi="宋体" w:cs="Arial"/>
                <w:kern w:val="0"/>
                <w:szCs w:val="21"/>
                <w:u w:val="single"/>
              </w:rPr>
            </w:pPr>
            <w:r>
              <w:rPr>
                <w:rFonts w:ascii="宋体" w:hAnsi="宋体" w:cs="宋体"/>
                <w:szCs w:val="21"/>
              </w:rPr>
              <w:t>□</w:t>
            </w:r>
            <w:r>
              <w:rPr>
                <w:rFonts w:hint="eastAsia" w:ascii="宋体" w:hAnsi="宋体" w:cs="宋体"/>
                <w:szCs w:val="21"/>
              </w:rPr>
              <w:t>其他媒体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31"/>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6375" w:type="dxa"/>
          </w:tcPr>
          <w:p>
            <w:pPr>
              <w:pStyle w:val="31"/>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31"/>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31"/>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31"/>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31"/>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6375"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6375"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6375"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ind w:firstLine="3120" w:firstLineChars="1300"/>
        <w:jc w:val="both"/>
      </w:pPr>
      <w:bookmarkStart w:id="11" w:name="_Toc120411798"/>
      <w:bookmarkStart w:id="12" w:name="_Toc13748"/>
      <w:bookmarkStart w:id="13" w:name="_Toc535832519"/>
      <w:bookmarkStart w:id="14" w:name="_Hlk49445217"/>
      <w:r>
        <w:t>二、谈判文件</w:t>
      </w:r>
      <w:bookmarkEnd w:id="11"/>
      <w:bookmarkEnd w:id="12"/>
      <w:bookmarkEnd w:id="13"/>
    </w:p>
    <w:p>
      <w:pPr>
        <w:pStyle w:val="25"/>
        <w:tabs>
          <w:tab w:val="left" w:pos="1155"/>
          <w:tab w:val="clear" w:pos="360"/>
          <w:tab w:val="clear" w:pos="425"/>
          <w:tab w:val="clear" w:pos="1134"/>
        </w:tabs>
        <w:spacing w:before="0" w:after="0"/>
        <w:ind w:left="1157" w:hanging="1157"/>
      </w:pPr>
      <w:bookmarkStart w:id="15" w:name="_Toc16768"/>
      <w:bookmarkStart w:id="16" w:name="_Toc535832520"/>
      <w:bookmarkStart w:id="17" w:name="_Toc120411799"/>
      <w:r>
        <w:t>谈判文件的构成</w:t>
      </w:r>
      <w:bookmarkEnd w:id="15"/>
      <w:bookmarkEnd w:id="16"/>
      <w:bookmarkEnd w:id="17"/>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w:t>
      </w:r>
      <w:r>
        <w:rPr>
          <w:rFonts w:hint="eastAsia" w:ascii="宋体" w:hAnsi="宋体" w:cs="Arial"/>
          <w:kern w:val="0"/>
          <w:sz w:val="24"/>
        </w:rPr>
        <w:t>，</w:t>
      </w:r>
      <w:r>
        <w:rPr>
          <w:rFonts w:ascii="宋体" w:hAnsi="宋体" w:cs="Arial"/>
          <w:kern w:val="0"/>
          <w:sz w:val="24"/>
        </w:rPr>
        <w:t>谈判文件共</w:t>
      </w:r>
      <w:r>
        <w:rPr>
          <w:rFonts w:hint="eastAsia" w:ascii="宋体" w:hAnsi="宋体" w:cs="Arial"/>
          <w:kern w:val="0"/>
          <w:sz w:val="24"/>
        </w:rPr>
        <w:t>三</w:t>
      </w:r>
      <w:r>
        <w:rPr>
          <w:rFonts w:ascii="宋体" w:hAnsi="宋体" w:cs="Arial"/>
          <w:kern w:val="0"/>
          <w:sz w:val="24"/>
        </w:rPr>
        <w:t>章。具体内容如下：</w:t>
      </w:r>
    </w:p>
    <w:p>
      <w:pPr>
        <w:numPr>
          <w:ilvl w:val="0"/>
          <w:numId w:val="5"/>
        </w:numPr>
        <w:tabs>
          <w:tab w:val="left" w:pos="2577"/>
          <w:tab w:val="clear" w:pos="1737"/>
        </w:tabs>
        <w:spacing w:line="560" w:lineRule="exact"/>
        <w:ind w:left="1721" w:leftChars="820"/>
        <w:rPr>
          <w:rFonts w:ascii="宋体" w:hAnsi="宋体" w:cs="Arial"/>
          <w:sz w:val="24"/>
        </w:rPr>
      </w:pPr>
      <w:r>
        <w:rPr>
          <w:rFonts w:hint="eastAsia" w:ascii="宋体" w:hAnsi="宋体" w:cs="Arial"/>
          <w:sz w:val="24"/>
        </w:rPr>
        <w:t>谈判公告</w:t>
      </w:r>
    </w:p>
    <w:p>
      <w:pPr>
        <w:numPr>
          <w:ilvl w:val="0"/>
          <w:numId w:val="5"/>
        </w:numPr>
        <w:tabs>
          <w:tab w:val="left" w:pos="2577"/>
          <w:tab w:val="clear" w:pos="1737"/>
        </w:tabs>
        <w:spacing w:line="560" w:lineRule="exact"/>
        <w:ind w:left="1721"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1" w:leftChars="820"/>
        <w:rPr>
          <w:rFonts w:ascii="宋体" w:hAnsi="宋体" w:cs="Arial"/>
          <w:sz w:val="24"/>
        </w:rPr>
      </w:pPr>
      <w:r>
        <w:rPr>
          <w:rFonts w:hint="eastAsia" w:ascii="宋体" w:hAnsi="宋体" w:cs="Arial"/>
          <w:sz w:val="24"/>
        </w:rPr>
        <w:t>项目采购需求</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25"/>
        <w:tabs>
          <w:tab w:val="left" w:pos="1155"/>
          <w:tab w:val="clear" w:pos="360"/>
          <w:tab w:val="clear" w:pos="425"/>
          <w:tab w:val="clear" w:pos="1134"/>
        </w:tabs>
        <w:spacing w:before="0" w:after="0"/>
        <w:ind w:left="1157" w:hanging="1157"/>
      </w:pPr>
      <w:bookmarkStart w:id="18" w:name="_Toc27507"/>
      <w:bookmarkStart w:id="19" w:name="_Toc535832522"/>
      <w:bookmarkStart w:id="20" w:name="_Toc120411801"/>
      <w:r>
        <w:rPr>
          <w:rFonts w:hint="eastAsia"/>
        </w:rPr>
        <w:t>谈判文件疑问的提交</w:t>
      </w:r>
      <w:bookmarkEnd w:id="18"/>
    </w:p>
    <w:p>
      <w:pPr>
        <w:numPr>
          <w:ilvl w:val="1"/>
          <w:numId w:val="1"/>
        </w:numPr>
        <w:tabs>
          <w:tab w:val="left" w:pos="1155"/>
          <w:tab w:val="left" w:pos="2247"/>
          <w:tab w:val="clear" w:pos="56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w:t>
      </w:r>
      <w:r>
        <w:rPr>
          <w:rFonts w:ascii="宋体" w:hAnsi="宋体" w:cs="Arial"/>
          <w:kern w:val="0"/>
          <w:sz w:val="24"/>
        </w:rPr>
        <w:t xml:space="preserve"> </w:t>
      </w:r>
    </w:p>
    <w:p>
      <w:pPr>
        <w:numPr>
          <w:ilvl w:val="1"/>
          <w:numId w:val="1"/>
        </w:numPr>
        <w:tabs>
          <w:tab w:val="left" w:pos="1155"/>
          <w:tab w:val="clear" w:pos="567"/>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25"/>
        <w:tabs>
          <w:tab w:val="left" w:pos="1155"/>
          <w:tab w:val="clear" w:pos="360"/>
          <w:tab w:val="clear" w:pos="425"/>
          <w:tab w:val="clear" w:pos="1134"/>
        </w:tabs>
        <w:spacing w:before="0" w:after="0"/>
        <w:ind w:left="1157" w:hanging="1157"/>
      </w:pPr>
      <w:bookmarkStart w:id="21" w:name="_Toc30155"/>
      <w:r>
        <w:rPr>
          <w:rFonts w:hint="eastAsia"/>
        </w:rPr>
        <w:t>通知</w:t>
      </w:r>
      <w:bookmarkEnd w:id="21"/>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9"/>
    <w:bookmarkEnd w:id="20"/>
    <w:p>
      <w:pPr>
        <w:pStyle w:val="3"/>
      </w:pPr>
      <w:bookmarkStart w:id="22" w:name="_Toc535832523"/>
      <w:bookmarkStart w:id="23" w:name="_Toc120411802"/>
      <w:bookmarkStart w:id="24" w:name="_Toc5242"/>
      <w:r>
        <w:t>三、响应文件的编制</w:t>
      </w:r>
      <w:bookmarkEnd w:id="22"/>
      <w:bookmarkEnd w:id="23"/>
      <w:r>
        <w:rPr>
          <w:rFonts w:hint="eastAsia"/>
        </w:rPr>
        <w:t>、装订、</w:t>
      </w:r>
      <w:r>
        <w:t>密封和标记</w:t>
      </w:r>
      <w:bookmarkEnd w:id="24"/>
    </w:p>
    <w:p>
      <w:pPr>
        <w:pStyle w:val="25"/>
        <w:tabs>
          <w:tab w:val="left" w:pos="1155"/>
          <w:tab w:val="clear" w:pos="360"/>
          <w:tab w:val="clear" w:pos="425"/>
          <w:tab w:val="clear" w:pos="1134"/>
        </w:tabs>
        <w:spacing w:before="0" w:after="0"/>
        <w:ind w:left="1157" w:hanging="1157"/>
      </w:pPr>
      <w:bookmarkStart w:id="25" w:name="_Toc120411803"/>
      <w:bookmarkStart w:id="26" w:name="_Toc535832524"/>
      <w:bookmarkStart w:id="27" w:name="_Toc10505"/>
      <w:r>
        <w:t>响应文件的语言及计量</w:t>
      </w:r>
      <w:bookmarkEnd w:id="25"/>
      <w:bookmarkEnd w:id="26"/>
      <w:bookmarkEnd w:id="27"/>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25"/>
        <w:tabs>
          <w:tab w:val="left" w:pos="1155"/>
          <w:tab w:val="clear" w:pos="360"/>
          <w:tab w:val="clear" w:pos="425"/>
          <w:tab w:val="clear" w:pos="1134"/>
        </w:tabs>
        <w:spacing w:before="0" w:after="0"/>
        <w:ind w:left="1157" w:hanging="1157"/>
      </w:pPr>
      <w:bookmarkStart w:id="28" w:name="_Toc24505"/>
      <w:bookmarkStart w:id="29" w:name="_Toc120411804"/>
      <w:bookmarkStart w:id="30" w:name="_Toc535832525"/>
      <w:r>
        <w:t>响应文件的构成</w:t>
      </w:r>
      <w:bookmarkEnd w:id="28"/>
      <w:bookmarkEnd w:id="29"/>
      <w:bookmarkEnd w:id="30"/>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pStyle w:val="25"/>
        <w:tabs>
          <w:tab w:val="left" w:pos="1155"/>
          <w:tab w:val="clear" w:pos="360"/>
          <w:tab w:val="clear" w:pos="425"/>
          <w:tab w:val="clear" w:pos="1134"/>
        </w:tabs>
        <w:spacing w:before="0" w:after="0"/>
        <w:ind w:left="1157" w:hanging="1157"/>
      </w:pPr>
      <w:bookmarkStart w:id="31" w:name="_Toc535832527"/>
      <w:bookmarkStart w:id="32" w:name="_Toc19459"/>
      <w:bookmarkStart w:id="33" w:name="_Toc120411806"/>
      <w:r>
        <w:rPr>
          <w:rFonts w:hint="eastAsia"/>
        </w:rPr>
        <w:t>谈判</w:t>
      </w:r>
      <w:r>
        <w:t>报价</w:t>
      </w:r>
      <w:bookmarkEnd w:id="31"/>
      <w:bookmarkEnd w:id="32"/>
      <w:bookmarkEnd w:id="33"/>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25"/>
        <w:tabs>
          <w:tab w:val="left" w:pos="1155"/>
          <w:tab w:val="clear" w:pos="360"/>
          <w:tab w:val="clear" w:pos="425"/>
          <w:tab w:val="clear" w:pos="1134"/>
        </w:tabs>
        <w:spacing w:before="0" w:after="0"/>
        <w:ind w:left="1157" w:hanging="1157"/>
      </w:pPr>
      <w:bookmarkStart w:id="34" w:name="_Toc535832532"/>
      <w:bookmarkStart w:id="35" w:name="_Toc19911"/>
      <w:bookmarkStart w:id="36" w:name="_Toc120411811"/>
      <w:r>
        <w:t>谈判有效期</w:t>
      </w:r>
      <w:bookmarkEnd w:id="34"/>
      <w:bookmarkEnd w:id="35"/>
      <w:bookmarkEnd w:id="36"/>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25"/>
        <w:tabs>
          <w:tab w:val="left" w:pos="1155"/>
          <w:tab w:val="clear" w:pos="360"/>
          <w:tab w:val="clear" w:pos="425"/>
          <w:tab w:val="clear" w:pos="1134"/>
        </w:tabs>
        <w:spacing w:before="0" w:after="0"/>
        <w:ind w:left="1157" w:hanging="1157"/>
      </w:pPr>
      <w:bookmarkStart w:id="37" w:name="_Toc121195753"/>
      <w:bookmarkStart w:id="38" w:name="_Toc109616875"/>
      <w:bookmarkStart w:id="39" w:name="_Toc47348161"/>
      <w:bookmarkStart w:id="40" w:name="_Toc11828"/>
      <w:bookmarkStart w:id="41" w:name="_Toc120411810"/>
      <w:bookmarkStart w:id="42" w:name="_Toc535832531"/>
      <w:r>
        <w:rPr>
          <w:rFonts w:hint="eastAsia"/>
        </w:rPr>
        <w:t>响应文件格式</w:t>
      </w:r>
      <w:bookmarkEnd w:id="37"/>
      <w:bookmarkEnd w:id="38"/>
      <w:bookmarkEnd w:id="39"/>
      <w:r>
        <w:rPr>
          <w:rFonts w:hint="eastAsia"/>
        </w:rPr>
        <w:t>和签署</w:t>
      </w:r>
      <w:bookmarkEnd w:id="40"/>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41"/>
    <w:bookmarkEnd w:id="42"/>
    <w:p>
      <w:pPr>
        <w:pStyle w:val="25"/>
        <w:tabs>
          <w:tab w:val="left" w:pos="1155"/>
          <w:tab w:val="clear" w:pos="360"/>
          <w:tab w:val="clear" w:pos="425"/>
          <w:tab w:val="clear" w:pos="1134"/>
        </w:tabs>
        <w:spacing w:before="0" w:after="0"/>
        <w:ind w:left="1157" w:hanging="1157"/>
      </w:pPr>
      <w:bookmarkStart w:id="43" w:name="_Toc535832536"/>
      <w:bookmarkStart w:id="44" w:name="_Toc120411814"/>
      <w:bookmarkStart w:id="45" w:name="_Toc21612"/>
      <w:r>
        <w:t>响应文件的</w:t>
      </w:r>
      <w:bookmarkEnd w:id="43"/>
      <w:bookmarkEnd w:id="44"/>
      <w:r>
        <w:rPr>
          <w:rFonts w:hint="eastAsia"/>
        </w:rPr>
        <w:t>装订、密封和标记</w:t>
      </w:r>
      <w:bookmarkEnd w:id="45"/>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6" w:name="_Toc2604"/>
      <w:r>
        <w:rPr>
          <w:rFonts w:hint="eastAsia"/>
        </w:rPr>
        <w:t>四</w:t>
      </w:r>
      <w:r>
        <w:t>、</w:t>
      </w:r>
      <w:bookmarkStart w:id="47" w:name="_Toc120411819"/>
      <w:bookmarkStart w:id="48" w:name="_Toc535832541"/>
      <w:r>
        <w:rPr>
          <w:rFonts w:hint="eastAsia"/>
        </w:rPr>
        <w:t>谈判</w:t>
      </w:r>
      <w:bookmarkEnd w:id="46"/>
    </w:p>
    <w:bookmarkEnd w:id="47"/>
    <w:bookmarkEnd w:id="48"/>
    <w:p>
      <w:pPr>
        <w:pStyle w:val="25"/>
        <w:tabs>
          <w:tab w:val="left" w:pos="1155"/>
          <w:tab w:val="clear" w:pos="360"/>
          <w:tab w:val="clear" w:pos="425"/>
          <w:tab w:val="clear" w:pos="1134"/>
        </w:tabs>
        <w:spacing w:before="0" w:after="0"/>
        <w:ind w:left="1157" w:hanging="1157"/>
      </w:pPr>
      <w:bookmarkStart w:id="49" w:name="_Toc17380"/>
      <w:r>
        <w:t>响应文件</w:t>
      </w:r>
      <w:r>
        <w:rPr>
          <w:rFonts w:hint="eastAsia"/>
        </w:rPr>
        <w:t>的提交</w:t>
      </w:r>
      <w:bookmarkEnd w:id="49"/>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25"/>
        <w:tabs>
          <w:tab w:val="left" w:pos="1155"/>
          <w:tab w:val="clear" w:pos="360"/>
          <w:tab w:val="clear" w:pos="425"/>
          <w:tab w:val="clear" w:pos="1134"/>
        </w:tabs>
        <w:spacing w:before="0" w:after="0"/>
        <w:ind w:left="1157" w:hanging="1157"/>
      </w:pPr>
      <w:bookmarkStart w:id="50" w:name="_Toc18751"/>
      <w:bookmarkStart w:id="51" w:name="_Toc120411816"/>
      <w:bookmarkStart w:id="52" w:name="_Toc535832538"/>
      <w:r>
        <w:t>响应文件的</w:t>
      </w:r>
      <w:r>
        <w:rPr>
          <w:rFonts w:hint="eastAsia"/>
        </w:rPr>
        <w:t>拒收</w:t>
      </w:r>
      <w:bookmarkEnd w:id="50"/>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25"/>
        <w:tabs>
          <w:tab w:val="left" w:pos="1155"/>
          <w:tab w:val="clear" w:pos="360"/>
          <w:tab w:val="clear" w:pos="425"/>
          <w:tab w:val="clear" w:pos="1134"/>
        </w:tabs>
        <w:spacing w:before="0" w:after="0"/>
        <w:ind w:left="1157" w:hanging="1157"/>
      </w:pPr>
      <w:bookmarkStart w:id="53" w:name="_Toc5977"/>
      <w:r>
        <w:rPr>
          <w:rFonts w:hint="eastAsia"/>
        </w:rPr>
        <w:t>应文件的补充、修改或撤回</w:t>
      </w:r>
      <w:bookmarkEnd w:id="53"/>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51"/>
    <w:bookmarkEnd w:id="52"/>
    <w:p>
      <w:pPr>
        <w:pStyle w:val="25"/>
        <w:tabs>
          <w:tab w:val="left" w:pos="1155"/>
          <w:tab w:val="clear" w:pos="360"/>
          <w:tab w:val="clear" w:pos="425"/>
          <w:tab w:val="clear" w:pos="1134"/>
        </w:tabs>
        <w:spacing w:before="0" w:after="0"/>
        <w:ind w:left="1157" w:hanging="1157"/>
      </w:pPr>
      <w:bookmarkStart w:id="54" w:name="_Toc29052"/>
      <w:r>
        <w:rPr>
          <w:rFonts w:hint="eastAsia"/>
        </w:rPr>
        <w:t>谈判时间和地点</w:t>
      </w:r>
      <w:bookmarkEnd w:id="54"/>
    </w:p>
    <w:p>
      <w:pPr>
        <w:numPr>
          <w:ilvl w:val="1"/>
          <w:numId w:val="1"/>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25"/>
        <w:tabs>
          <w:tab w:val="left" w:pos="1155"/>
          <w:tab w:val="clear" w:pos="360"/>
          <w:tab w:val="clear" w:pos="425"/>
          <w:tab w:val="clear" w:pos="1134"/>
        </w:tabs>
        <w:spacing w:before="0" w:after="0"/>
        <w:ind w:left="1157" w:hanging="1157"/>
      </w:pPr>
      <w:bookmarkStart w:id="55" w:name="_Toc14581"/>
      <w:r>
        <w:t>谈判小组的组成和</w:t>
      </w:r>
      <w:r>
        <w:rPr>
          <w:rFonts w:hint="eastAsia"/>
        </w:rPr>
        <w:t>评审办法</w:t>
      </w:r>
      <w:bookmarkEnd w:id="55"/>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谈判小组设组长1名，由谈判小组成员选举确定，组长与其他成员有同等评审权，仅负责组织评审活动，不得干预谈判小组其他成员的评审。</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二</w:t>
      </w:r>
      <w:r>
        <w:rPr>
          <w:rFonts w:ascii="宋体" w:hAnsi="宋体" w:cs="Arial"/>
          <w:kern w:val="0"/>
          <w:sz w:val="24"/>
        </w:rPr>
        <w:t>章</w:t>
      </w:r>
      <w:r>
        <w:rPr>
          <w:rFonts w:hint="eastAsia" w:ascii="宋体" w:hAnsi="宋体" w:cs="Arial"/>
          <w:kern w:val="0"/>
          <w:sz w:val="24"/>
        </w:rPr>
        <w:t>第四条</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25"/>
        <w:tabs>
          <w:tab w:val="left" w:pos="1155"/>
          <w:tab w:val="clear" w:pos="360"/>
          <w:tab w:val="clear" w:pos="425"/>
          <w:tab w:val="clear" w:pos="1134"/>
        </w:tabs>
        <w:spacing w:before="0" w:after="0"/>
        <w:ind w:left="1157" w:hanging="1157"/>
      </w:pPr>
      <w:bookmarkStart w:id="56" w:name="_Toc14159"/>
      <w:r>
        <w:rPr>
          <w:rFonts w:hint="eastAsia"/>
        </w:rPr>
        <w:t>谈判程序</w:t>
      </w:r>
      <w:bookmarkEnd w:id="56"/>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1"/>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1"/>
        </w:numPr>
        <w:tabs>
          <w:tab w:val="left" w:pos="1155"/>
          <w:tab w:val="clear" w:pos="567"/>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最</w:t>
      </w:r>
      <w:r>
        <w:rPr>
          <w:rFonts w:hint="eastAsia" w:ascii="宋体" w:hAnsi="宋体" w:cs="Arial"/>
          <w:kern w:val="0"/>
          <w:sz w:val="24"/>
        </w:rPr>
        <w:t>终</w:t>
      </w:r>
      <w:r>
        <w:rPr>
          <w:rFonts w:ascii="宋体" w:hAnsi="宋体" w:cs="Arial"/>
          <w:kern w:val="0"/>
          <w:sz w:val="24"/>
        </w:rPr>
        <w:t xml:space="preserve">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谈判文件能够详细列明采购标的的技术、服务要求的，谈判结束后，谈判小组应当要求所有继续参加谈判的供应商在规定时间内提交最后报价，提交最</w:t>
      </w:r>
      <w:r>
        <w:rPr>
          <w:rFonts w:hint="eastAsia" w:ascii="宋体" w:hAnsi="宋体" w:cs="Arial"/>
          <w:kern w:val="0"/>
          <w:sz w:val="24"/>
        </w:rPr>
        <w:t>终</w:t>
      </w:r>
      <w:r>
        <w:rPr>
          <w:rFonts w:ascii="宋体" w:hAnsi="宋体" w:cs="Arial"/>
          <w:kern w:val="0"/>
          <w:sz w:val="24"/>
        </w:rPr>
        <w:t xml:space="preserve">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已提交响应文件的供应商，在提交最</w:t>
      </w:r>
      <w:r>
        <w:rPr>
          <w:rFonts w:hint="eastAsia" w:ascii="宋体" w:hAnsi="宋体" w:cs="Arial"/>
          <w:kern w:val="0"/>
          <w:sz w:val="24"/>
        </w:rPr>
        <w:t>终</w:t>
      </w:r>
      <w:r>
        <w:rPr>
          <w:rFonts w:ascii="宋体" w:hAnsi="宋体" w:cs="Arial"/>
          <w:kern w:val="0"/>
          <w:sz w:val="24"/>
        </w:rPr>
        <w:t xml:space="preserve">报价之前，可以根据谈判情况退出谈判。 </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供应商采取密封形式提交最终报价。依据抽签顺序依次单独进入谈判现场向谈判小组公布其最终报价，最终报价将作为供应商综合评审的价格依据。</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采购</w:t>
      </w:r>
      <w:r>
        <w:rPr>
          <w:rFonts w:hint="eastAsia" w:ascii="宋体" w:hAnsi="宋体" w:cs="Arial"/>
          <w:kern w:val="0"/>
          <w:sz w:val="24"/>
        </w:rPr>
        <w:t>人</w:t>
      </w:r>
      <w:r>
        <w:rPr>
          <w:rFonts w:ascii="宋体" w:hAnsi="宋体" w:cs="Arial"/>
          <w:kern w:val="0"/>
          <w:sz w:val="24"/>
        </w:rPr>
        <w:t>对谈判过程进行记录，最</w:t>
      </w:r>
      <w:r>
        <w:rPr>
          <w:rFonts w:hint="eastAsia" w:ascii="宋体" w:hAnsi="宋体" w:cs="Arial"/>
          <w:kern w:val="0"/>
          <w:sz w:val="24"/>
        </w:rPr>
        <w:t>终</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1"/>
        </w:numPr>
        <w:tabs>
          <w:tab w:val="left" w:pos="1155"/>
          <w:tab w:val="clear" w:pos="709"/>
        </w:tabs>
        <w:spacing w:line="560" w:lineRule="exact"/>
        <w:ind w:left="1157" w:hanging="1157"/>
        <w:rPr>
          <w:sz w:val="44"/>
          <w:szCs w:val="44"/>
        </w:rPr>
      </w:pPr>
      <w:r>
        <w:rPr>
          <w:rFonts w:hint="eastAsia" w:ascii="宋体" w:hAnsi="宋体" w:cs="Arial"/>
          <w:kern w:val="0"/>
          <w:sz w:val="24"/>
        </w:rPr>
        <w:t xml:space="preserve"> </w:t>
      </w:r>
      <w:r>
        <w:rPr>
          <w:rFonts w:hint="eastAsia" w:ascii="宋体" w:hAnsi="宋体"/>
          <w:szCs w:val="21"/>
        </w:rPr>
        <w:t>采</w:t>
      </w:r>
      <w:r>
        <w:rPr>
          <w:rFonts w:hint="eastAsia" w:ascii="宋体" w:hAnsi="宋体"/>
          <w:sz w:val="24"/>
          <w:szCs w:val="24"/>
        </w:rPr>
        <w:t>购人从评审报告提出的成交候选供应商，按照</w:t>
      </w:r>
      <w:r>
        <w:rPr>
          <w:rFonts w:ascii="宋体" w:hAnsi="宋体" w:cs="Arial"/>
          <w:kern w:val="0"/>
          <w:sz w:val="24"/>
          <w:szCs w:val="24"/>
        </w:rPr>
        <w:t>最</w:t>
      </w:r>
      <w:r>
        <w:rPr>
          <w:rFonts w:hint="eastAsia" w:ascii="宋体" w:hAnsi="宋体" w:cs="Arial"/>
          <w:kern w:val="0"/>
          <w:sz w:val="24"/>
          <w:szCs w:val="24"/>
        </w:rPr>
        <w:t>终</w:t>
      </w:r>
      <w:r>
        <w:rPr>
          <w:rFonts w:hint="eastAsia" w:ascii="宋体" w:hAnsi="宋体"/>
          <w:sz w:val="24"/>
          <w:szCs w:val="24"/>
        </w:rPr>
        <w:t>报价排序由底到高的原则确定成交供应商</w:t>
      </w:r>
      <w:r>
        <w:rPr>
          <w:rFonts w:ascii="宋体" w:hAnsi="宋体" w:cs="Arial"/>
          <w:kern w:val="0"/>
          <w:sz w:val="24"/>
          <w:szCs w:val="24"/>
        </w:rPr>
        <w:t>，</w:t>
      </w:r>
      <w:r>
        <w:rPr>
          <w:rFonts w:hint="eastAsia" w:ascii="宋体" w:hAnsi="宋体" w:cs="Arial"/>
          <w:kern w:val="0"/>
          <w:sz w:val="24"/>
          <w:szCs w:val="24"/>
        </w:rPr>
        <w:t>以最低报价为成交供应商。</w:t>
      </w:r>
      <w:r>
        <w:rPr>
          <w:rFonts w:hint="eastAsia" w:ascii="宋体" w:hAnsi="宋体" w:cs="Arial"/>
          <w:kern w:val="0"/>
          <w:sz w:val="24"/>
        </w:rPr>
        <w:t xml:space="preserve"> </w:t>
      </w:r>
      <w:bookmarkEnd w:id="14"/>
      <w:bookmarkStart w:id="57" w:name="_Toc1501"/>
      <w:bookmarkStart w:id="58" w:name="_Toc535891688"/>
      <w:bookmarkStart w:id="59" w:name="_Toc535891855"/>
      <w:bookmarkStart w:id="60" w:name="_Toc535815711"/>
      <w:bookmarkStart w:id="61" w:name="_Toc120411834"/>
      <w:bookmarkStart w:id="62" w:name="_Toc535832555"/>
      <w:bookmarkStart w:id="63" w:name="_Toc535814466"/>
    </w:p>
    <w:p>
      <w:pPr>
        <w:tabs>
          <w:tab w:val="left" w:pos="1155"/>
        </w:tabs>
        <w:spacing w:line="560" w:lineRule="exact"/>
        <w:rPr>
          <w:sz w:val="44"/>
          <w:szCs w:val="44"/>
        </w:rPr>
      </w:pPr>
    </w:p>
    <w:p>
      <w:pPr>
        <w:pStyle w:val="2"/>
        <w:spacing w:line="240" w:lineRule="auto"/>
        <w:ind w:firstLine="1320" w:firstLineChars="300"/>
        <w:rPr>
          <w:rFonts w:ascii="宋体" w:hAnsi="宋体" w:cs="宋体"/>
        </w:rPr>
      </w:pPr>
      <w:r>
        <w:rPr>
          <w:rFonts w:hint="eastAsia"/>
        </w:rPr>
        <w:t>第三章</w:t>
      </w:r>
      <w:bookmarkEnd w:id="57"/>
      <w:r>
        <w:rPr>
          <w:rFonts w:hint="eastAsia" w:ascii="宋体" w:hAnsi="宋体" w:cs="宋体"/>
        </w:rPr>
        <w:t xml:space="preserve"> 采购项目内容及要求</w:t>
      </w:r>
    </w:p>
    <w:p>
      <w:pPr>
        <w:tabs>
          <w:tab w:val="left" w:pos="720"/>
        </w:tabs>
        <w:spacing w:line="500" w:lineRule="exact"/>
        <w:ind w:firstLine="640" w:firstLineChars="200"/>
        <w:rPr>
          <w:rFonts w:ascii="宋体" w:hAnsi="宋体"/>
          <w:b/>
          <w:bCs/>
          <w:sz w:val="28"/>
          <w:szCs w:val="28"/>
        </w:rPr>
      </w:pPr>
      <w:bookmarkStart w:id="64" w:name="_Toc528493135"/>
      <w:bookmarkEnd w:id="64"/>
      <w:bookmarkStart w:id="65" w:name="_Toc528493580"/>
      <w:bookmarkEnd w:id="65"/>
      <w:bookmarkStart w:id="66" w:name="_Toc528493168"/>
      <w:bookmarkEnd w:id="66"/>
      <w:bookmarkStart w:id="67" w:name="_Hlk18936003"/>
      <w:bookmarkEnd w:id="67"/>
      <w:bookmarkStart w:id="68" w:name="_Toc528494286"/>
      <w:bookmarkEnd w:id="68"/>
      <w:bookmarkStart w:id="69" w:name="_Toc528493087"/>
      <w:bookmarkEnd w:id="69"/>
      <w:r>
        <w:rPr>
          <w:rFonts w:hint="eastAsia" w:ascii="宋体" w:hAnsi="宋体" w:cs="宋体"/>
          <w:b/>
          <w:bCs/>
          <w:sz w:val="32"/>
          <w:szCs w:val="32"/>
        </w:rPr>
        <w:t>黄石市中</w:t>
      </w:r>
      <w:r>
        <w:rPr>
          <w:rFonts w:hint="eastAsia" w:ascii="宋体" w:hAnsi="宋体" w:cs="宋体"/>
          <w:b/>
          <w:bCs/>
          <w:sz w:val="28"/>
          <w:szCs w:val="28"/>
        </w:rPr>
        <w:t>心医院（</w:t>
      </w:r>
      <w:r>
        <w:rPr>
          <w:rFonts w:hint="eastAsia" w:ascii="宋体" w:hAnsi="宋体" w:cs="宋体"/>
          <w:bCs/>
          <w:sz w:val="28"/>
          <w:szCs w:val="28"/>
        </w:rPr>
        <w:t>灭“四害”）</w:t>
      </w:r>
      <w:r>
        <w:rPr>
          <w:rFonts w:hint="eastAsia" w:ascii="宋体" w:hAnsi="宋体"/>
          <w:b/>
          <w:bCs/>
          <w:sz w:val="28"/>
          <w:szCs w:val="28"/>
        </w:rPr>
        <w:t>方案</w:t>
      </w:r>
    </w:p>
    <w:p>
      <w:pPr>
        <w:spacing w:line="500" w:lineRule="exact"/>
        <w:ind w:firstLine="480" w:firstLineChars="200"/>
        <w:rPr>
          <w:rFonts w:ascii="宋体" w:hAnsi="宋体"/>
          <w:b/>
          <w:sz w:val="24"/>
          <w:szCs w:val="24"/>
        </w:rPr>
      </w:pPr>
      <w:r>
        <w:rPr>
          <w:rFonts w:hint="eastAsia" w:ascii="宋体" w:hAnsi="宋体"/>
          <w:b/>
          <w:sz w:val="24"/>
          <w:szCs w:val="24"/>
        </w:rPr>
        <w:t>一、施工范围：</w:t>
      </w:r>
    </w:p>
    <w:p>
      <w:pPr>
        <w:spacing w:line="500" w:lineRule="exact"/>
        <w:ind w:firstLine="480" w:firstLineChars="200"/>
        <w:rPr>
          <w:rFonts w:ascii="宋体" w:hAnsi="宋体"/>
          <w:bCs/>
          <w:sz w:val="24"/>
          <w:szCs w:val="24"/>
        </w:rPr>
      </w:pPr>
      <w:r>
        <w:rPr>
          <w:rFonts w:hint="eastAsia" w:ascii="宋体" w:hAnsi="宋体"/>
          <w:bCs/>
          <w:sz w:val="24"/>
          <w:szCs w:val="24"/>
        </w:rPr>
        <w:t>1、中心院区服务范围：行政办公楼1-12号楼、各门诊病区、科室、电梯井道、地下室公共部位后勤各班组、库房、球馆、食堂、家属区、院内下水道、院内绿化区域等。</w:t>
      </w:r>
    </w:p>
    <w:p>
      <w:pPr>
        <w:spacing w:line="500" w:lineRule="exact"/>
        <w:ind w:firstLine="480" w:firstLineChars="200"/>
        <w:rPr>
          <w:rFonts w:ascii="宋体" w:hAnsi="宋体"/>
          <w:sz w:val="24"/>
          <w:szCs w:val="24"/>
        </w:rPr>
      </w:pPr>
      <w:r>
        <w:rPr>
          <w:rFonts w:hint="eastAsia" w:ascii="宋体" w:hAnsi="宋体"/>
          <w:bCs/>
          <w:sz w:val="24"/>
          <w:szCs w:val="24"/>
        </w:rPr>
        <w:t>2、普爱院区服务范围</w:t>
      </w:r>
      <w:r>
        <w:rPr>
          <w:rFonts w:hint="eastAsia" w:ascii="宋体" w:hAnsi="宋体"/>
          <w:sz w:val="24"/>
          <w:szCs w:val="24"/>
        </w:rPr>
        <w:t>：行政办公楼1-12号楼、各门诊病区、科室、电梯井道、后勤各班组、食堂、库房、家属区、地下室、院内下水道、院内绿化区域</w:t>
      </w:r>
      <w:r>
        <w:rPr>
          <w:rFonts w:hint="eastAsia" w:ascii="宋体" w:hAnsi="宋体"/>
          <w:bCs/>
          <w:sz w:val="24"/>
          <w:szCs w:val="24"/>
        </w:rPr>
        <w:t>等</w:t>
      </w:r>
      <w:r>
        <w:rPr>
          <w:rFonts w:hint="eastAsia" w:ascii="宋体" w:hAnsi="宋体"/>
          <w:sz w:val="24"/>
          <w:szCs w:val="24"/>
        </w:rPr>
        <w:t>。</w:t>
      </w:r>
    </w:p>
    <w:p>
      <w:pPr>
        <w:tabs>
          <w:tab w:val="left" w:pos="720"/>
        </w:tabs>
        <w:spacing w:line="500" w:lineRule="exact"/>
        <w:ind w:firstLine="480" w:firstLineChars="200"/>
        <w:rPr>
          <w:rFonts w:ascii="宋体" w:hAnsi="宋体"/>
          <w:sz w:val="24"/>
          <w:szCs w:val="24"/>
        </w:rPr>
      </w:pPr>
      <w:r>
        <w:rPr>
          <w:rFonts w:hint="eastAsia" w:ascii="宋体" w:hAnsi="宋体"/>
          <w:b/>
          <w:sz w:val="24"/>
          <w:szCs w:val="24"/>
        </w:rPr>
        <w:t>二、施工内容：灭</w:t>
      </w:r>
      <w:r>
        <w:rPr>
          <w:rFonts w:hint="eastAsia" w:ascii="宋体" w:hAnsi="宋体"/>
          <w:sz w:val="24"/>
          <w:szCs w:val="24"/>
        </w:rPr>
        <w:t>鼠、灭蟑、灭蚊、灭蝇</w:t>
      </w:r>
    </w:p>
    <w:p>
      <w:pPr>
        <w:tabs>
          <w:tab w:val="left" w:pos="0"/>
        </w:tabs>
        <w:spacing w:line="500" w:lineRule="exact"/>
        <w:ind w:firstLine="480" w:firstLineChars="200"/>
        <w:rPr>
          <w:rFonts w:ascii="宋体" w:hAnsi="宋体"/>
          <w:b/>
          <w:sz w:val="24"/>
          <w:szCs w:val="24"/>
        </w:rPr>
      </w:pPr>
      <w:r>
        <w:rPr>
          <w:rFonts w:hint="eastAsia" w:ascii="宋体" w:hAnsi="宋体"/>
          <w:b/>
          <w:sz w:val="24"/>
          <w:szCs w:val="24"/>
        </w:rPr>
        <w:t>三、施工用药：</w:t>
      </w:r>
    </w:p>
    <w:p>
      <w:pPr>
        <w:tabs>
          <w:tab w:val="left" w:pos="0"/>
        </w:tabs>
        <w:spacing w:line="500" w:lineRule="exact"/>
        <w:ind w:firstLine="480" w:firstLineChars="200"/>
        <w:rPr>
          <w:rFonts w:ascii="宋体" w:hAnsi="宋体"/>
          <w:sz w:val="24"/>
          <w:szCs w:val="24"/>
        </w:rPr>
      </w:pPr>
      <w:r>
        <w:rPr>
          <w:rFonts w:hint="eastAsia" w:ascii="宋体" w:hAnsi="宋体"/>
          <w:b/>
          <w:sz w:val="24"/>
          <w:szCs w:val="24"/>
        </w:rPr>
        <w:t>1、</w:t>
      </w:r>
      <w:r>
        <w:rPr>
          <w:rFonts w:hint="eastAsia" w:ascii="宋体" w:hAnsi="宋体"/>
          <w:sz w:val="24"/>
          <w:szCs w:val="24"/>
        </w:rPr>
        <w:t>灭鼠采用鼠夹、粘鼠板、电子猫、第二代抗凝血药物溴敌隆稻谷毒饵、腊丸；灭蟑、灭蚊、灭蝇采用高效菊脂类。</w:t>
      </w:r>
    </w:p>
    <w:p>
      <w:pPr>
        <w:spacing w:line="500" w:lineRule="exact"/>
        <w:ind w:firstLine="360" w:firstLineChars="15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lang w:bidi="ar-EG"/>
        </w:rPr>
        <w:t>防治</w:t>
      </w:r>
      <w:r>
        <w:rPr>
          <w:rFonts w:ascii="宋体" w:hAnsi="宋体"/>
          <w:color w:val="000000"/>
          <w:sz w:val="24"/>
          <w:szCs w:val="24"/>
        </w:rPr>
        <w:t>药物要求：</w:t>
      </w:r>
      <w:r>
        <w:rPr>
          <w:rFonts w:hint="eastAsia" w:ascii="宋体" w:hAnsi="宋体"/>
          <w:color w:val="000000"/>
          <w:sz w:val="24"/>
          <w:szCs w:val="24"/>
        </w:rPr>
        <w:t>所有药物</w:t>
      </w:r>
      <w:r>
        <w:rPr>
          <w:rFonts w:ascii="宋体" w:hAnsi="宋体"/>
          <w:color w:val="000000"/>
          <w:sz w:val="24"/>
          <w:szCs w:val="24"/>
        </w:rPr>
        <w:t>产</w:t>
      </w:r>
      <w:r>
        <w:rPr>
          <w:rFonts w:hint="eastAsia" w:ascii="宋体" w:hAnsi="宋体"/>
          <w:color w:val="000000"/>
          <w:sz w:val="24"/>
          <w:szCs w:val="24"/>
        </w:rPr>
        <w:t>品，必须</w:t>
      </w:r>
      <w:r>
        <w:rPr>
          <w:rFonts w:ascii="宋体" w:hAnsi="宋体"/>
          <w:color w:val="000000"/>
          <w:sz w:val="24"/>
          <w:szCs w:val="24"/>
        </w:rPr>
        <w:t>具有国家行政主管部门批准的生产</w:t>
      </w:r>
      <w:r>
        <w:rPr>
          <w:rFonts w:hint="eastAsia" w:ascii="宋体" w:hAnsi="宋体" w:cs="仿宋_GB2312"/>
          <w:sz w:val="24"/>
          <w:szCs w:val="24"/>
        </w:rPr>
        <w:t>许可证</w:t>
      </w:r>
      <w:r>
        <w:rPr>
          <w:rFonts w:ascii="宋体" w:hAnsi="宋体"/>
          <w:color w:val="000000"/>
          <w:sz w:val="24"/>
          <w:szCs w:val="24"/>
        </w:rPr>
        <w:t>文号</w:t>
      </w:r>
      <w:r>
        <w:rPr>
          <w:rFonts w:hint="eastAsia" w:ascii="宋体" w:hAnsi="宋体"/>
          <w:color w:val="000000"/>
          <w:sz w:val="24"/>
          <w:szCs w:val="24"/>
        </w:rPr>
        <w:t>，供货时</w:t>
      </w:r>
      <w:r>
        <w:rPr>
          <w:rFonts w:ascii="宋体" w:hAnsi="宋体"/>
          <w:color w:val="000000"/>
          <w:sz w:val="24"/>
          <w:szCs w:val="24"/>
        </w:rPr>
        <w:t>提供药物检测报告、合格证书等所有证明资料</w:t>
      </w:r>
      <w:r>
        <w:rPr>
          <w:rFonts w:hint="eastAsia" w:ascii="宋体" w:hAnsi="宋体"/>
          <w:color w:val="000000"/>
          <w:sz w:val="24"/>
          <w:szCs w:val="24"/>
        </w:rPr>
        <w:t>，</w:t>
      </w:r>
      <w:r>
        <w:rPr>
          <w:rFonts w:ascii="宋体" w:hAnsi="宋体"/>
          <w:color w:val="000000"/>
          <w:sz w:val="24"/>
          <w:szCs w:val="24"/>
        </w:rPr>
        <w:t>所有药物具有合法透明的供货渠道，</w:t>
      </w:r>
      <w:r>
        <w:rPr>
          <w:rFonts w:hint="eastAsia" w:ascii="宋体" w:hAnsi="宋体" w:cs="仿宋_GB2312"/>
          <w:sz w:val="24"/>
          <w:szCs w:val="24"/>
        </w:rPr>
        <w:t>严格按国家规定的卫生杀虫药物施工。</w:t>
      </w:r>
    </w:p>
    <w:p>
      <w:pPr>
        <w:tabs>
          <w:tab w:val="left" w:pos="0"/>
        </w:tabs>
        <w:spacing w:line="500" w:lineRule="exact"/>
        <w:ind w:firstLine="480" w:firstLineChars="200"/>
        <w:rPr>
          <w:rFonts w:ascii="宋体" w:hAnsi="宋体" w:cs="仿宋_GB2312"/>
          <w:sz w:val="24"/>
          <w:szCs w:val="24"/>
        </w:rPr>
      </w:pPr>
      <w:r>
        <w:rPr>
          <w:rFonts w:hint="eastAsia" w:ascii="宋体" w:hAnsi="宋体"/>
          <w:b/>
          <w:sz w:val="24"/>
          <w:szCs w:val="24"/>
        </w:rPr>
        <w:t>四、施工方案</w:t>
      </w:r>
    </w:p>
    <w:p>
      <w:pPr>
        <w:tabs>
          <w:tab w:val="left" w:pos="720"/>
        </w:tabs>
        <w:spacing w:line="500" w:lineRule="exact"/>
        <w:ind w:firstLine="240" w:firstLineChars="100"/>
        <w:rPr>
          <w:rFonts w:ascii="宋体" w:hAnsi="宋体" w:cs="宋体"/>
          <w:b/>
          <w:sz w:val="24"/>
          <w:szCs w:val="24"/>
        </w:rPr>
      </w:pPr>
      <w:r>
        <w:rPr>
          <w:rFonts w:hint="eastAsia" w:ascii="宋体" w:hAnsi="宋体" w:cs="宋体"/>
          <w:b/>
          <w:sz w:val="24"/>
          <w:szCs w:val="24"/>
        </w:rPr>
        <w:t>（一）注重科学合理用药，采用化学与物理相结合的方式</w:t>
      </w:r>
    </w:p>
    <w:p>
      <w:pPr>
        <w:spacing w:line="500" w:lineRule="exact"/>
        <w:ind w:firstLine="360" w:firstLineChars="150"/>
        <w:rPr>
          <w:rFonts w:ascii="宋体" w:hAnsi="宋体" w:cs="仿宋_GB2312"/>
          <w:b/>
          <w:sz w:val="24"/>
          <w:szCs w:val="24"/>
        </w:rPr>
      </w:pPr>
      <w:r>
        <w:rPr>
          <w:rFonts w:hint="eastAsia" w:ascii="宋体" w:hAnsi="宋体" w:cs="仿宋_GB2312"/>
          <w:b/>
          <w:sz w:val="24"/>
          <w:szCs w:val="24"/>
        </w:rPr>
        <w:t>1、灭鼠方案</w:t>
      </w:r>
    </w:p>
    <w:p>
      <w:pPr>
        <w:spacing w:line="500" w:lineRule="exact"/>
        <w:rPr>
          <w:rFonts w:ascii="宋体" w:hAnsi="宋体" w:cs="仿宋_GB2312"/>
          <w:sz w:val="24"/>
          <w:szCs w:val="24"/>
        </w:rPr>
      </w:pPr>
      <w:r>
        <w:rPr>
          <w:rFonts w:hint="eastAsia" w:ascii="宋体" w:hAnsi="宋体" w:cs="仿宋_GB2312"/>
          <w:sz w:val="24"/>
          <w:szCs w:val="24"/>
        </w:rPr>
        <w:t xml:space="preserve">   ①室内采用物理灭治法，用鼠夹、粘鼠板、捕鼠笼、电子灭鼠器灭鼠,做到有的放矢。</w:t>
      </w:r>
    </w:p>
    <w:p>
      <w:pPr>
        <w:spacing w:line="500" w:lineRule="exact"/>
        <w:rPr>
          <w:rFonts w:ascii="宋体" w:hAnsi="宋体" w:cs="仿宋_GB2312"/>
          <w:sz w:val="24"/>
          <w:szCs w:val="24"/>
        </w:rPr>
      </w:pPr>
      <w:r>
        <w:rPr>
          <w:rFonts w:hint="eastAsia" w:ascii="宋体" w:hAnsi="宋体" w:cs="仿宋_GB2312"/>
          <w:sz w:val="24"/>
          <w:szCs w:val="24"/>
        </w:rPr>
        <w:t xml:space="preserve">   ②建立室内外灭鼠毒饵站  对室内外全面布控，达到全面灭杀与防控效果，定时更换药物，防止霉变和被鸟类盗食。</w:t>
      </w:r>
    </w:p>
    <w:p>
      <w:pPr>
        <w:spacing w:line="500" w:lineRule="exact"/>
        <w:rPr>
          <w:rFonts w:ascii="宋体" w:hAnsi="宋体" w:cs="仿宋_GB2312"/>
          <w:sz w:val="24"/>
          <w:szCs w:val="24"/>
        </w:rPr>
      </w:pPr>
      <w:r>
        <w:rPr>
          <w:rFonts w:hint="eastAsia" w:ascii="宋体" w:hAnsi="宋体" w:cs="仿宋_GB2312"/>
          <w:sz w:val="24"/>
          <w:szCs w:val="24"/>
        </w:rPr>
        <w:t xml:space="preserve">   ③化学灭鼠  采用国家规定的药物投药，不间断对楼梯间、线管井、地沟和屋顶投药，严禁裸投。</w:t>
      </w:r>
    </w:p>
    <w:p>
      <w:pPr>
        <w:spacing w:line="500" w:lineRule="exact"/>
        <w:rPr>
          <w:rFonts w:ascii="宋体" w:hAnsi="宋体" w:cs="仿宋_GB2312"/>
          <w:sz w:val="24"/>
          <w:szCs w:val="24"/>
        </w:rPr>
      </w:pPr>
      <w:r>
        <w:rPr>
          <w:rFonts w:hint="eastAsia" w:ascii="宋体" w:hAnsi="宋体" w:cs="仿宋_GB2312"/>
          <w:sz w:val="24"/>
          <w:szCs w:val="24"/>
        </w:rPr>
        <w:t xml:space="preserve">   ④及时清理鼠尸  在用粘鼠板、鼠夹和药物灭治过程中，及时清理鼠尸，避免产生异味。全年每月服务二次，有问题随叫随到。</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⑤控鼠 灭鼠是一个长期控制灭治过程，在日常灭鼠过程中，防大于治，做好各种防护措施。</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⑥外围毒饵站投鼠药每月一次。</w:t>
      </w:r>
    </w:p>
    <w:p>
      <w:pPr>
        <w:spacing w:line="500" w:lineRule="exact"/>
        <w:rPr>
          <w:rFonts w:ascii="宋体" w:hAnsi="宋体" w:cs="仿宋_GB2312"/>
          <w:b/>
          <w:sz w:val="24"/>
          <w:szCs w:val="24"/>
        </w:rPr>
      </w:pPr>
      <w:r>
        <w:rPr>
          <w:rFonts w:hint="eastAsia" w:ascii="宋体" w:hAnsi="宋体" w:cs="仿宋_GB2312"/>
          <w:sz w:val="24"/>
          <w:szCs w:val="24"/>
        </w:rPr>
        <w:t xml:space="preserve">  </w:t>
      </w:r>
      <w:r>
        <w:rPr>
          <w:rFonts w:hint="eastAsia" w:ascii="宋体" w:hAnsi="宋体" w:cs="仿宋_GB2312"/>
          <w:b/>
          <w:sz w:val="24"/>
          <w:szCs w:val="24"/>
        </w:rPr>
        <w:t xml:space="preserve"> 2、灭蟑方案</w:t>
      </w:r>
    </w:p>
    <w:p>
      <w:pPr>
        <w:spacing w:line="500" w:lineRule="exact"/>
        <w:rPr>
          <w:rFonts w:ascii="宋体" w:hAnsi="宋体" w:cs="仿宋_GB2312"/>
          <w:sz w:val="24"/>
          <w:szCs w:val="24"/>
        </w:rPr>
      </w:pPr>
      <w:r>
        <w:rPr>
          <w:rFonts w:hint="eastAsia" w:ascii="宋体" w:hAnsi="宋体" w:cs="仿宋_GB2312"/>
          <w:sz w:val="24"/>
          <w:szCs w:val="24"/>
        </w:rPr>
        <w:t xml:space="preserve">   ①室内蟑螂的控制  首先当地蟑螂种类和生活习性。如栖息场所、活动规律、季节消长、药物抗性等，特别是蟑螂的进入途径，药品入库周转。全年每月检查二次，有问题及时防治。</w:t>
      </w:r>
    </w:p>
    <w:p>
      <w:pPr>
        <w:spacing w:line="500" w:lineRule="exact"/>
        <w:rPr>
          <w:rFonts w:ascii="宋体" w:hAnsi="宋体" w:cs="仿宋_GB2312"/>
          <w:sz w:val="24"/>
          <w:szCs w:val="24"/>
        </w:rPr>
      </w:pPr>
      <w:r>
        <w:rPr>
          <w:rFonts w:hint="eastAsia" w:ascii="宋体" w:hAnsi="宋体" w:cs="仿宋_GB2312"/>
          <w:sz w:val="24"/>
          <w:szCs w:val="24"/>
        </w:rPr>
        <w:t xml:space="preserve">   ②化学灭治，滞留喷洒，对蟑螂活动及栖息场所喷，对缝隙、杂物堆用药物灭杀及控制。</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③针对儿科、妇产科、呼吸道科、重症病房及特别科室，采用高效低毒环保无气味的颗粒饵剂及胶饵进行灭杀，避免药物过敏现象。</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④灭蟑每月布药2次。</w:t>
      </w:r>
    </w:p>
    <w:p>
      <w:pPr>
        <w:spacing w:line="500" w:lineRule="exact"/>
        <w:ind w:firstLine="360" w:firstLineChars="150"/>
        <w:rPr>
          <w:rFonts w:ascii="宋体" w:hAnsi="宋体" w:cs="仿宋_GB2312"/>
          <w:sz w:val="24"/>
          <w:szCs w:val="24"/>
        </w:rPr>
      </w:pPr>
      <w:r>
        <w:rPr>
          <w:rFonts w:hint="eastAsia" w:ascii="宋体" w:hAnsi="宋体" w:cs="仿宋_GB2312"/>
          <w:b/>
          <w:sz w:val="24"/>
          <w:szCs w:val="24"/>
        </w:rPr>
        <w:t>3、灭蚊、蝇方案</w:t>
      </w:r>
    </w:p>
    <w:p>
      <w:pPr>
        <w:widowControl/>
        <w:spacing w:line="360" w:lineRule="auto"/>
        <w:ind w:firstLine="480" w:firstLineChars="200"/>
        <w:jc w:val="left"/>
        <w:rPr>
          <w:rFonts w:ascii="宋体" w:hAnsi="宋体" w:cs="宋体"/>
          <w:sz w:val="24"/>
          <w:szCs w:val="24"/>
        </w:rPr>
      </w:pPr>
      <w:r>
        <w:rPr>
          <w:rFonts w:hint="eastAsia" w:ascii="宋体" w:hAnsi="宋体" w:cs="仿宋_GB2312"/>
          <w:sz w:val="24"/>
          <w:szCs w:val="24"/>
        </w:rPr>
        <w:t>每年4-10月份，对医院环境进行检查，发现蚊蝇</w:t>
      </w:r>
      <w:r>
        <w:rPr>
          <w:rFonts w:ascii="仿宋_GB2312" w:hAnsi="宋体" w:eastAsia="仿宋_GB2312" w:cs="仿宋_GB2312"/>
          <w:color w:val="000000"/>
          <w:kern w:val="0"/>
          <w:sz w:val="24"/>
          <w:szCs w:val="24"/>
        </w:rPr>
        <w:t>孳</w:t>
      </w:r>
      <w:r>
        <w:rPr>
          <w:rFonts w:hint="eastAsia" w:ascii="宋体" w:hAnsi="宋体" w:cs="仿宋_GB2312"/>
          <w:sz w:val="24"/>
          <w:szCs w:val="24"/>
        </w:rPr>
        <w:t>生地进行处理，对医院</w:t>
      </w:r>
      <w:r>
        <w:rPr>
          <w:rFonts w:hint="eastAsia" w:ascii="宋体" w:hAnsi="宋体" w:cs="宋体"/>
          <w:color w:val="000000"/>
          <w:kern w:val="0"/>
          <w:sz w:val="24"/>
          <w:szCs w:val="24"/>
        </w:rPr>
        <w:t>外环境的</w:t>
      </w:r>
      <w:r>
        <w:rPr>
          <w:rFonts w:hint="eastAsia" w:ascii="宋体" w:hAnsi="宋体" w:cs="仿宋_GB2312"/>
          <w:sz w:val="24"/>
          <w:szCs w:val="24"/>
        </w:rPr>
        <w:t>绿化带、</w:t>
      </w:r>
      <w:r>
        <w:rPr>
          <w:rFonts w:hint="eastAsia" w:ascii="宋体" w:hAnsi="宋体" w:cs="宋体"/>
          <w:color w:val="000000"/>
          <w:kern w:val="0"/>
          <w:sz w:val="24"/>
          <w:szCs w:val="24"/>
        </w:rPr>
        <w:t>排水沟井口积水、小型水体、容器积水、地下管线沟渠积水、</w:t>
      </w:r>
      <w:r>
        <w:rPr>
          <w:rFonts w:hint="eastAsia" w:ascii="宋体" w:hAnsi="宋体" w:cs="仿宋_GB2312"/>
          <w:sz w:val="24"/>
          <w:szCs w:val="24"/>
        </w:rPr>
        <w:t>垃圾桶、垃圾箱</w:t>
      </w:r>
      <w:r>
        <w:rPr>
          <w:rFonts w:hint="eastAsia" w:ascii="宋体" w:hAnsi="宋体" w:cs="宋体"/>
          <w:color w:val="000000"/>
          <w:kern w:val="0"/>
          <w:sz w:val="24"/>
          <w:szCs w:val="24"/>
        </w:rPr>
        <w:t>等蚊蝇孳生地进行灭蚊蝇药物</w:t>
      </w:r>
      <w:r>
        <w:rPr>
          <w:rFonts w:hint="eastAsia" w:ascii="宋体" w:hAnsi="宋体" w:cs="宋体"/>
          <w:sz w:val="24"/>
          <w:szCs w:val="24"/>
        </w:rPr>
        <w:t>喷洒</w:t>
      </w:r>
      <w:r>
        <w:rPr>
          <w:rFonts w:hint="eastAsia" w:ascii="宋体" w:hAnsi="宋体" w:cs="宋体"/>
          <w:color w:val="000000"/>
          <w:kern w:val="0"/>
          <w:sz w:val="24"/>
          <w:szCs w:val="24"/>
        </w:rPr>
        <w:t>工作</w:t>
      </w:r>
      <w:r>
        <w:rPr>
          <w:rFonts w:hint="eastAsia" w:ascii="宋体" w:hAnsi="宋体" w:cs="宋体"/>
          <w:sz w:val="24"/>
          <w:szCs w:val="24"/>
        </w:rPr>
        <w:t>，每月施药二次。</w:t>
      </w:r>
    </w:p>
    <w:p>
      <w:pPr>
        <w:spacing w:line="500" w:lineRule="exact"/>
        <w:ind w:firstLine="360" w:firstLineChars="150"/>
        <w:rPr>
          <w:rFonts w:ascii="宋体" w:hAnsi="宋体" w:cs="仿宋_GB2312"/>
          <w:b/>
          <w:sz w:val="24"/>
          <w:szCs w:val="24"/>
        </w:rPr>
      </w:pPr>
      <w:r>
        <w:rPr>
          <w:rFonts w:hint="eastAsia" w:ascii="宋体" w:hAnsi="宋体" w:cs="仿宋_GB2312"/>
          <w:b/>
          <w:sz w:val="24"/>
          <w:szCs w:val="24"/>
        </w:rPr>
        <w:t>4、签证</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每月服务不低于二次，服务卡由科室签单。</w:t>
      </w:r>
    </w:p>
    <w:p>
      <w:pPr>
        <w:spacing w:line="500" w:lineRule="exact"/>
        <w:ind w:firstLine="360" w:firstLineChars="150"/>
        <w:rPr>
          <w:rFonts w:ascii="宋体" w:hAnsi="宋体" w:cs="仿宋_GB2312"/>
          <w:b/>
          <w:sz w:val="24"/>
          <w:szCs w:val="24"/>
        </w:rPr>
      </w:pPr>
      <w:r>
        <w:rPr>
          <w:rFonts w:hint="eastAsia" w:ascii="宋体" w:hAnsi="宋体" w:cs="仿宋_GB2312"/>
          <w:b/>
          <w:sz w:val="24"/>
          <w:szCs w:val="24"/>
        </w:rPr>
        <w:t>5、施工人员</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技术负责人   中心院区：1人；普爱院区：1人。</w:t>
      </w:r>
    </w:p>
    <w:p>
      <w:pPr>
        <w:spacing w:line="500" w:lineRule="exact"/>
        <w:ind w:firstLine="240" w:firstLineChars="100"/>
        <w:rPr>
          <w:rFonts w:ascii="宋体" w:hAnsi="宋体" w:cs="仿宋_GB2312"/>
          <w:b/>
          <w:sz w:val="24"/>
          <w:szCs w:val="24"/>
        </w:rPr>
      </w:pPr>
      <w:r>
        <w:rPr>
          <w:rFonts w:hint="eastAsia" w:ascii="宋体" w:hAnsi="宋体" w:cs="仿宋_GB2312"/>
          <w:b/>
          <w:sz w:val="24"/>
          <w:szCs w:val="24"/>
        </w:rPr>
        <w:t>（三）病媒生物防制达标实施要求</w:t>
      </w:r>
    </w:p>
    <w:p>
      <w:pPr>
        <w:tabs>
          <w:tab w:val="left" w:pos="540"/>
        </w:tabs>
        <w:spacing w:line="360" w:lineRule="auto"/>
        <w:ind w:firstLine="480" w:firstLineChars="200"/>
        <w:rPr>
          <w:rFonts w:ascii="宋体" w:hAnsi="宋体"/>
          <w:color w:val="000000"/>
          <w:sz w:val="24"/>
          <w:szCs w:val="24"/>
        </w:rPr>
      </w:pPr>
      <w:r>
        <w:rPr>
          <w:rFonts w:hint="eastAsia" w:ascii="宋体" w:hAnsi="宋体" w:cs="仿宋_GB2312"/>
          <w:color w:val="000000"/>
          <w:sz w:val="24"/>
          <w:szCs w:val="24"/>
        </w:rPr>
        <w:t>通过综合防制，每年二次达标检查，病媒生物各项指标达到国家标准，</w:t>
      </w:r>
      <w:r>
        <w:rPr>
          <w:rFonts w:hint="eastAsia" w:ascii="宋体" w:hAnsi="宋体"/>
          <w:color w:val="000000"/>
          <w:sz w:val="24"/>
          <w:szCs w:val="24"/>
        </w:rPr>
        <w:t>每月对服务质量进行考核，并提出一项监测指标及考核办法，</w:t>
      </w:r>
      <w:r>
        <w:rPr>
          <w:rFonts w:hint="eastAsia" w:ascii="宋体" w:hAnsi="宋体" w:cs="仿宋_GB2312"/>
          <w:color w:val="000000"/>
          <w:sz w:val="24"/>
          <w:szCs w:val="24"/>
        </w:rPr>
        <w:t>并由双方共同检查填写达标表</w:t>
      </w:r>
      <w:r>
        <w:rPr>
          <w:rFonts w:hint="eastAsia" w:ascii="宋体" w:hAnsi="宋体"/>
          <w:color w:val="000000"/>
          <w:sz w:val="24"/>
          <w:szCs w:val="24"/>
        </w:rPr>
        <w:t>。</w:t>
      </w:r>
    </w:p>
    <w:p>
      <w:pPr>
        <w:tabs>
          <w:tab w:val="left" w:pos="540"/>
        </w:tabs>
        <w:spacing w:line="360" w:lineRule="auto"/>
        <w:ind w:firstLine="480" w:firstLineChars="200"/>
        <w:rPr>
          <w:rFonts w:ascii="宋体" w:hAnsi="宋体" w:cs="仿宋_GB2312"/>
          <w:color w:val="000000"/>
          <w:sz w:val="24"/>
          <w:szCs w:val="24"/>
        </w:rPr>
      </w:pPr>
      <w:r>
        <w:rPr>
          <w:rFonts w:hint="eastAsia" w:ascii="宋体" w:hAnsi="宋体"/>
          <w:color w:val="000000"/>
          <w:sz w:val="24"/>
          <w:szCs w:val="24"/>
        </w:rPr>
        <w:t>每季度出具灭鼠虫害密度（监测）检查表，并经采购人、成交供应商双方确认后签字盖章。</w:t>
      </w:r>
    </w:p>
    <w:p>
      <w:pPr>
        <w:spacing w:line="500" w:lineRule="exact"/>
        <w:ind w:firstLine="360" w:firstLineChars="150"/>
        <w:rPr>
          <w:rFonts w:ascii="宋体" w:hAnsi="宋体" w:cs="宋体"/>
          <w:sz w:val="24"/>
          <w:szCs w:val="24"/>
        </w:rPr>
      </w:pPr>
      <w:r>
        <w:rPr>
          <w:rFonts w:hint="eastAsia" w:ascii="宋体" w:hAnsi="宋体" w:cs="仿宋_GB2312"/>
          <w:sz w:val="24"/>
          <w:szCs w:val="24"/>
        </w:rPr>
        <w:t>鼠GB/T27770-2011，15</w:t>
      </w:r>
      <w:r>
        <w:rPr>
          <w:rFonts w:hint="eastAsia" w:ascii="宋体" w:hAnsi="宋体" w:cs="宋体"/>
          <w:sz w:val="24"/>
          <w:szCs w:val="24"/>
        </w:rPr>
        <w:t>㎡标准房间阳性率不超过3%，有鼠洞、鼠类、鼠咬痕、鼠迹的房间不超过2%，重点部位防鼠设施不合格处不超过5%。</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蟑GB/T27773-2011，室内有蟑螂成虫或若虫阳性房间不超过3%，平均每间房大蠊不超过5只，小蠊不超过10只，有活卵鞘的房间不超过2%，平均每间房不超过4只，有蟑螂粪便、脱皮等蟑迹的房间不超过5%。</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蚊GB/T27771-2011，路径指数小于或等0.5，采样勺指数小于或等于3%，平均阳率勺少于5只蚊虫幼虫和蛹。</w:t>
      </w:r>
    </w:p>
    <w:p>
      <w:pPr>
        <w:spacing w:line="500" w:lineRule="exact"/>
        <w:ind w:firstLine="360" w:firstLineChars="150"/>
        <w:rPr>
          <w:rFonts w:ascii="宋体" w:hAnsi="宋体" w:cs="仿宋_GB2312"/>
          <w:sz w:val="24"/>
          <w:szCs w:val="24"/>
        </w:rPr>
      </w:pPr>
      <w:r>
        <w:rPr>
          <w:rFonts w:hint="eastAsia" w:ascii="宋体" w:hAnsi="宋体" w:cs="仿宋_GB2312"/>
          <w:sz w:val="24"/>
          <w:szCs w:val="24"/>
        </w:rPr>
        <w:t>蝇GB/T27772-2011，有蝇房间阳率不超过3%，阳性间蝇密度小于或等于3只/间，蝇类孳生地阳性率小于5%.</w:t>
      </w:r>
    </w:p>
    <w:p>
      <w:pPr>
        <w:tabs>
          <w:tab w:val="left" w:pos="540"/>
        </w:tabs>
        <w:spacing w:line="360" w:lineRule="auto"/>
        <w:ind w:firstLine="480" w:firstLineChars="200"/>
        <w:rPr>
          <w:rFonts w:ascii="宋体" w:hAnsi="宋体"/>
          <w:color w:val="000000"/>
          <w:sz w:val="24"/>
          <w:szCs w:val="24"/>
        </w:rPr>
      </w:pPr>
      <w:r>
        <w:rPr>
          <w:rFonts w:hint="eastAsia" w:ascii="宋体" w:hAnsi="宋体"/>
          <w:color w:val="000000"/>
          <w:sz w:val="24"/>
          <w:szCs w:val="24"/>
        </w:rPr>
        <w:t>五、其他：</w:t>
      </w:r>
    </w:p>
    <w:p>
      <w:pPr>
        <w:tabs>
          <w:tab w:val="left" w:pos="540"/>
        </w:tabs>
        <w:spacing w:line="360" w:lineRule="auto"/>
        <w:ind w:firstLine="480" w:firstLineChars="200"/>
        <w:rPr>
          <w:rFonts w:ascii="宋体" w:hAnsi="宋体"/>
          <w:color w:val="000000"/>
          <w:sz w:val="24"/>
          <w:szCs w:val="24"/>
        </w:rPr>
      </w:pPr>
      <w:r>
        <w:rPr>
          <w:rFonts w:hint="eastAsia" w:ascii="宋体" w:hAnsi="宋体"/>
          <w:color w:val="000000"/>
          <w:sz w:val="24"/>
          <w:szCs w:val="24"/>
        </w:rPr>
        <w:t>1、服务人员相对固定，挂牌服务，</w:t>
      </w:r>
    </w:p>
    <w:p>
      <w:pPr>
        <w:tabs>
          <w:tab w:val="left" w:pos="540"/>
        </w:tabs>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2、成交供应商应积极配合采购人完成市、区相关部门灭“四害”的相关布置工作。</w:t>
      </w:r>
    </w:p>
    <w:p>
      <w:pPr>
        <w:tabs>
          <w:tab w:val="left" w:pos="540"/>
        </w:tabs>
        <w:spacing w:line="360" w:lineRule="auto"/>
        <w:ind w:firstLine="480" w:firstLineChars="200"/>
        <w:rPr>
          <w:rFonts w:ascii="宋体" w:hAnsi="宋体"/>
          <w:color w:val="000000"/>
          <w:sz w:val="24"/>
          <w:szCs w:val="24"/>
        </w:rPr>
      </w:pPr>
      <w:r>
        <w:rPr>
          <w:rFonts w:hint="eastAsia" w:ascii="宋体" w:hAnsi="宋体"/>
          <w:color w:val="000000"/>
          <w:sz w:val="24"/>
          <w:szCs w:val="24"/>
        </w:rPr>
        <w:t>3、如遇特殊情况随叫随到。</w:t>
      </w:r>
    </w:p>
    <w:p>
      <w:pPr>
        <w:tabs>
          <w:tab w:val="left" w:pos="540"/>
        </w:tabs>
        <w:spacing w:line="360" w:lineRule="auto"/>
        <w:ind w:left="420" w:leftChars="200"/>
        <w:rPr>
          <w:rFonts w:ascii="宋体" w:hAnsi="宋体"/>
          <w:color w:val="000000"/>
          <w:sz w:val="24"/>
          <w:szCs w:val="24"/>
        </w:rPr>
      </w:pPr>
      <w:r>
        <w:rPr>
          <w:rFonts w:hint="eastAsia" w:ascii="宋体" w:hAnsi="宋体"/>
          <w:color w:val="000000"/>
          <w:sz w:val="24"/>
          <w:szCs w:val="24"/>
        </w:rPr>
        <w:t>4、成交供应商在服务期间，如果服务质量考核三次不达标，将自动放弃服务。</w:t>
      </w:r>
    </w:p>
    <w:p>
      <w:pPr>
        <w:tabs>
          <w:tab w:val="left" w:pos="540"/>
        </w:tabs>
        <w:spacing w:line="360" w:lineRule="auto"/>
        <w:ind w:left="420" w:leftChars="200"/>
        <w:rPr>
          <w:rFonts w:ascii="宋体" w:hAnsi="宋体"/>
          <w:color w:val="000000"/>
          <w:sz w:val="24"/>
          <w:szCs w:val="24"/>
        </w:rPr>
        <w:sectPr>
          <w:footerReference r:id="rId7" w:type="default"/>
          <w:type w:val="continuous"/>
          <w:pgSz w:w="11906" w:h="16838"/>
          <w:pgMar w:top="1440" w:right="1797" w:bottom="1440" w:left="1797" w:header="851" w:footer="992" w:gutter="0"/>
          <w:cols w:space="720" w:num="1"/>
          <w:docGrid w:type="linesAndChars" w:linePitch="312" w:charSpace="0"/>
        </w:sectPr>
      </w:pPr>
      <w:r>
        <w:rPr>
          <w:rFonts w:hint="eastAsia" w:ascii="宋体" w:hAnsi="宋体"/>
          <w:color w:val="000000"/>
          <w:sz w:val="24"/>
          <w:szCs w:val="24"/>
        </w:rPr>
        <w:t>5</w:t>
      </w:r>
      <w:r>
        <w:rPr>
          <w:rFonts w:ascii="宋体" w:hAnsi="宋体"/>
          <w:color w:val="000000"/>
          <w:sz w:val="24"/>
          <w:szCs w:val="24"/>
        </w:rPr>
        <w:t>、验收要求</w:t>
      </w:r>
      <w:r>
        <w:rPr>
          <w:rFonts w:hint="eastAsia" w:ascii="宋体" w:hAnsi="宋体"/>
          <w:color w:val="000000"/>
          <w:sz w:val="24"/>
          <w:szCs w:val="24"/>
        </w:rPr>
        <w:t>按国家省市及行业标准</w:t>
      </w:r>
    </w:p>
    <w:p>
      <w:pPr>
        <w:pStyle w:val="2"/>
        <w:spacing w:line="500" w:lineRule="exact"/>
        <w:ind w:firstLine="2209" w:firstLineChars="500"/>
      </w:pPr>
      <w:bookmarkStart w:id="70" w:name="_Toc27202"/>
      <w:r>
        <w:rPr>
          <w:rFonts w:hint="eastAsia"/>
        </w:rPr>
        <w:t>第四章 合同条款</w:t>
      </w:r>
      <w:bookmarkEnd w:id="70"/>
    </w:p>
    <w:p>
      <w:pPr>
        <w:jc w:val="center"/>
        <w:rPr>
          <w:rFonts w:cs="宋体"/>
        </w:rPr>
      </w:pPr>
      <w:r>
        <w:rPr>
          <w:rFonts w:hint="eastAsia" w:cs="宋体"/>
        </w:rPr>
        <w:t>（仅供参考）</w:t>
      </w:r>
    </w:p>
    <w:p>
      <w:pPr>
        <w:spacing w:line="500" w:lineRule="exact"/>
        <w:jc w:val="left"/>
        <w:rPr>
          <w:rFonts w:asciiTheme="minorEastAsia" w:hAnsiTheme="minorEastAsia" w:cstheme="minorEastAsia"/>
          <w:sz w:val="28"/>
          <w:szCs w:val="28"/>
        </w:rPr>
      </w:pPr>
    </w:p>
    <w:p>
      <w:p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甲方：      </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（简称甲方）</w:t>
      </w:r>
    </w:p>
    <w:p>
      <w:p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乙方：                 （简称乙方）                       </w:t>
      </w:r>
    </w:p>
    <w:p>
      <w:pPr>
        <w:spacing w:line="500" w:lineRule="exact"/>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 xml:space="preserve">   经甲乙双方平等商议，就甲方委托乙方进行</w:t>
      </w:r>
      <w:r>
        <w:rPr>
          <w:rFonts w:hint="eastAsia" w:ascii="宋体" w:hAnsi="宋体" w:cs="宋体"/>
          <w:bCs/>
          <w:sz w:val="24"/>
          <w:szCs w:val="24"/>
          <w:lang w:val="zh-CN"/>
        </w:rPr>
        <w:t>灭“四害”</w:t>
      </w:r>
      <w:r>
        <w:rPr>
          <w:rFonts w:hint="eastAsia"/>
          <w:sz w:val="24"/>
          <w:szCs w:val="24"/>
        </w:rPr>
        <w:t>服务</w:t>
      </w:r>
      <w:r>
        <w:rPr>
          <w:rFonts w:hint="eastAsia" w:asciiTheme="minorEastAsia" w:hAnsiTheme="minorEastAsia" w:cstheme="minorEastAsia"/>
          <w:sz w:val="24"/>
          <w:szCs w:val="24"/>
        </w:rPr>
        <w:t>事宜，</w:t>
      </w:r>
    </w:p>
    <w:p>
      <w:pPr>
        <w:spacing w:line="500" w:lineRule="exact"/>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签订本合同。</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一、防制对象：①老鼠②蟑螂③蚊子④苍蝇</w:t>
      </w:r>
    </w:p>
    <w:p>
      <w:pPr>
        <w:spacing w:line="500" w:lineRule="exac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   二、防制范围:</w:t>
      </w:r>
      <w:r>
        <w:rPr>
          <w:rFonts w:hint="eastAsia" w:asciiTheme="minorEastAsia" w:hAnsiTheme="minorEastAsia" w:cstheme="minorEastAsia"/>
          <w:sz w:val="24"/>
          <w:szCs w:val="24"/>
          <w:u w:val="single"/>
        </w:rPr>
        <w:t xml:space="preserve">             </w:t>
      </w:r>
      <w:r>
        <w:rPr>
          <w:rFonts w:hint="eastAsia" w:ascii="宋体" w:hAnsi="宋体"/>
          <w:sz w:val="24"/>
          <w:szCs w:val="24"/>
        </w:rPr>
        <w:t>。</w:t>
      </w:r>
    </w:p>
    <w:p>
      <w:pPr>
        <w:spacing w:line="360" w:lineRule="auto"/>
        <w:ind w:left="115" w:leftChars="55" w:firstLine="240" w:firstLineChars="100"/>
        <w:rPr>
          <w:rFonts w:ascii="宋体" w:hAnsi="宋体"/>
          <w:sz w:val="24"/>
          <w:szCs w:val="24"/>
        </w:rPr>
      </w:pPr>
      <w:r>
        <w:rPr>
          <w:rFonts w:hint="eastAsia" w:asciiTheme="minorEastAsia" w:hAnsiTheme="minorEastAsia" w:cstheme="minorEastAsia"/>
          <w:sz w:val="24"/>
          <w:szCs w:val="24"/>
        </w:rPr>
        <w:t>三、</w:t>
      </w:r>
      <w:r>
        <w:rPr>
          <w:rFonts w:hint="eastAsia" w:ascii="宋体" w:hAnsi="宋体"/>
          <w:kern w:val="0"/>
          <w:sz w:val="24"/>
          <w:szCs w:val="24"/>
        </w:rPr>
        <w:t>本次服务年限为二年，</w:t>
      </w:r>
      <w:r>
        <w:rPr>
          <w:rFonts w:hint="eastAsia" w:asciiTheme="minorEastAsia" w:hAnsiTheme="minorEastAsia" w:cstheme="minorEastAsia"/>
          <w:sz w:val="24"/>
          <w:szCs w:val="24"/>
        </w:rPr>
        <w:t>合同期限自</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年 </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日至</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日。 </w:t>
      </w:r>
    </w:p>
    <w:p>
      <w:pPr>
        <w:spacing w:line="560" w:lineRule="exact"/>
        <w:ind w:left="240" w:hanging="240" w:hangingChars="100"/>
        <w:rPr>
          <w:rFonts w:asciiTheme="minorEastAsia" w:hAnsiTheme="minorEastAsia" w:cstheme="minorEastAsia"/>
          <w:sz w:val="24"/>
          <w:szCs w:val="24"/>
        </w:rPr>
      </w:pPr>
      <w:r>
        <w:rPr>
          <w:rFonts w:hint="eastAsia" w:asciiTheme="minorEastAsia" w:hAnsiTheme="minorEastAsia" w:cstheme="minorEastAsia"/>
          <w:sz w:val="24"/>
          <w:szCs w:val="24"/>
        </w:rPr>
        <w:t xml:space="preserve">   四、防制效果，灭四害“（2014）国家卫生城市</w:t>
      </w:r>
      <w:bookmarkStart w:id="71" w:name="_Hlk56589692"/>
      <w:r>
        <w:rPr>
          <w:rFonts w:hint="eastAsia" w:asciiTheme="minorEastAsia" w:hAnsiTheme="minorEastAsia" w:cstheme="minorEastAsia"/>
          <w:sz w:val="24"/>
          <w:szCs w:val="24"/>
        </w:rPr>
        <w:t>标准</w:t>
      </w:r>
      <w:bookmarkEnd w:id="71"/>
      <w:r>
        <w:rPr>
          <w:rFonts w:hint="eastAsia" w:asciiTheme="minorEastAsia" w:hAnsiTheme="minorEastAsia" w:cstheme="minorEastAsia"/>
          <w:sz w:val="24"/>
          <w:szCs w:val="24"/>
        </w:rPr>
        <w:t>”文件为防</w:t>
      </w:r>
    </w:p>
    <w:p>
      <w:pPr>
        <w:spacing w:line="560" w:lineRule="exact"/>
        <w:ind w:left="240" w:hanging="240" w:hangingChars="100"/>
        <w:rPr>
          <w:rFonts w:asciiTheme="minorEastAsia" w:hAnsiTheme="minorEastAsia" w:cstheme="minorEastAsia"/>
          <w:sz w:val="24"/>
          <w:szCs w:val="24"/>
        </w:rPr>
      </w:pPr>
      <w:r>
        <w:rPr>
          <w:rFonts w:hint="eastAsia" w:asciiTheme="minorEastAsia" w:hAnsiTheme="minorEastAsia" w:cstheme="minorEastAsia"/>
          <w:sz w:val="24"/>
          <w:szCs w:val="24"/>
        </w:rPr>
        <w:t xml:space="preserve">制标准。   </w:t>
      </w:r>
    </w:p>
    <w:p>
      <w:pPr>
        <w:spacing w:line="500" w:lineRule="exact"/>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灭鼠标准：密度控制水平不低于GB/T27770-2011规定的C级要求。</w:t>
      </w:r>
    </w:p>
    <w:p>
      <w:pPr>
        <w:spacing w:line="500" w:lineRule="exact"/>
        <w:ind w:left="279" w:leftChars="133"/>
        <w:rPr>
          <w:rFonts w:asciiTheme="minorEastAsia" w:hAnsiTheme="minorEastAsia" w:cstheme="minorEastAsia"/>
          <w:sz w:val="24"/>
          <w:szCs w:val="24"/>
        </w:rPr>
      </w:pPr>
      <w:r>
        <w:rPr>
          <w:rFonts w:hint="eastAsia" w:asciiTheme="minorEastAsia" w:hAnsiTheme="minorEastAsia" w:cstheme="minorEastAsia"/>
          <w:sz w:val="24"/>
          <w:szCs w:val="24"/>
        </w:rPr>
        <w:t xml:space="preserve">灭蚊标准：密度控制水平不低于GB/T27771-2011规定的C级要求。  </w:t>
      </w:r>
    </w:p>
    <w:p>
      <w:pPr>
        <w:spacing w:line="500" w:lineRule="exact"/>
        <w:ind w:left="279" w:leftChars="133"/>
        <w:rPr>
          <w:rFonts w:asciiTheme="minorEastAsia" w:hAnsiTheme="minorEastAsia" w:cstheme="minorEastAsia"/>
          <w:sz w:val="24"/>
          <w:szCs w:val="24"/>
        </w:rPr>
      </w:pPr>
      <w:r>
        <w:rPr>
          <w:rFonts w:hint="eastAsia" w:asciiTheme="minorEastAsia" w:hAnsiTheme="minorEastAsia" w:cstheme="minorEastAsia"/>
          <w:sz w:val="24"/>
          <w:szCs w:val="24"/>
        </w:rPr>
        <w:t>灭蝇标准：密度控制水平不低于GB/T27772-2011规定的C级要求。</w:t>
      </w:r>
    </w:p>
    <w:p>
      <w:pPr>
        <w:spacing w:line="500" w:lineRule="exact"/>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灭蟑标准：密度控制水平不低于GB/T27773-2011规定的C级要求。</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五、</w:t>
      </w:r>
      <w:bookmarkStart w:id="72" w:name="_Hlk56582997"/>
      <w:r>
        <w:rPr>
          <w:rFonts w:hint="eastAsia" w:asciiTheme="minorEastAsia" w:hAnsiTheme="minorEastAsia" w:cstheme="minorEastAsia"/>
          <w:sz w:val="24"/>
          <w:szCs w:val="24"/>
        </w:rPr>
        <w:t>防制</w:t>
      </w:r>
      <w:bookmarkEnd w:id="72"/>
      <w:r>
        <w:rPr>
          <w:rFonts w:hint="eastAsia" w:asciiTheme="minorEastAsia" w:hAnsiTheme="minorEastAsia" w:cstheme="minorEastAsia"/>
          <w:sz w:val="24"/>
          <w:szCs w:val="24"/>
        </w:rPr>
        <w:t>费用：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w:t>
      </w:r>
    </w:p>
    <w:p>
      <w:pPr>
        <w:spacing w:line="500" w:lineRule="exact"/>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 xml:space="preserve">   六、付款方式：合同期内灭“四害”达标，</w:t>
      </w:r>
      <w:r>
        <w:rPr>
          <w:rFonts w:hint="eastAsia" w:ascii="宋体" w:hAnsi="宋体"/>
          <w:kern w:val="0"/>
          <w:sz w:val="24"/>
          <w:szCs w:val="24"/>
        </w:rPr>
        <w:t>每年度考核通过</w:t>
      </w:r>
      <w:r>
        <w:rPr>
          <w:rFonts w:hint="eastAsia" w:asciiTheme="minorEastAsia" w:hAnsiTheme="minorEastAsia" w:cstheme="minorEastAsia"/>
          <w:sz w:val="24"/>
          <w:szCs w:val="24"/>
        </w:rPr>
        <w:t>后，</w:t>
      </w:r>
    </w:p>
    <w:p>
      <w:pPr>
        <w:spacing w:line="500" w:lineRule="exact"/>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 xml:space="preserve">甲方支付乙方年防制服务 </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元整 </w:t>
      </w:r>
      <w:r>
        <w:rPr>
          <w:rFonts w:asciiTheme="minorEastAsia" w:hAnsiTheme="minorEastAsia" w:cstheme="minorEastAsia"/>
          <w:sz w:val="24"/>
          <w:szCs w:val="24"/>
          <w:u w:val="single"/>
        </w:rPr>
        <w:t xml:space="preserve"> </w:t>
      </w:r>
      <w:r>
        <w:rPr>
          <w:rFonts w:hint="eastAsia" w:asciiTheme="minorEastAsia" w:hAnsiTheme="minorEastAsia" w:cstheme="minorEastAsia"/>
          <w:sz w:val="24"/>
          <w:szCs w:val="24"/>
          <w:u w:val="single"/>
        </w:rPr>
        <w:t>¥      元</w:t>
      </w:r>
      <w:r>
        <w:rPr>
          <w:rFonts w:hint="eastAsia" w:asciiTheme="minorEastAsia" w:hAnsiTheme="minorEastAsia" w:cstheme="minorEastAsia"/>
          <w:sz w:val="24"/>
          <w:szCs w:val="24"/>
        </w:rPr>
        <w:t>。</w:t>
      </w:r>
    </w:p>
    <w:p>
      <w:pPr>
        <w:spacing w:line="500" w:lineRule="exact"/>
        <w:rPr>
          <w:rFonts w:asciiTheme="minorEastAsia" w:hAnsiTheme="minorEastAsia" w:cstheme="minorEastAsia"/>
          <w:b/>
          <w:bCs/>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甲方责任</w:t>
      </w:r>
    </w:p>
    <w:p>
      <w:pPr>
        <w:numPr>
          <w:ilvl w:val="0"/>
          <w:numId w:val="6"/>
        </w:numPr>
        <w:spacing w:line="500" w:lineRule="exact"/>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坚持做好经常性的清洁卫生，妥善管理好食品垃圾日清日洁；</w:t>
      </w:r>
    </w:p>
    <w:p>
      <w:pPr>
        <w:numPr>
          <w:ilvl w:val="0"/>
          <w:numId w:val="6"/>
        </w:numPr>
        <w:spacing w:line="500" w:lineRule="exact"/>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积极做好杀虫灭害的宣传工作，对乙方采用的杀虫灭害药物、</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器械应予保护，不得随意毁坏；</w:t>
      </w:r>
    </w:p>
    <w:p>
      <w:pPr>
        <w:numPr>
          <w:ilvl w:val="0"/>
          <w:numId w:val="6"/>
        </w:numPr>
        <w:spacing w:line="500" w:lineRule="exact"/>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根据乙方提出的虫害防制设施整改方案，及时进行完善。如</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不予配合，造成的危害控制难度增大，责任在甲方不在乙方；</w:t>
      </w:r>
    </w:p>
    <w:p>
      <w:pPr>
        <w:numPr>
          <w:ilvl w:val="0"/>
          <w:numId w:val="6"/>
        </w:numPr>
        <w:spacing w:line="500" w:lineRule="exact"/>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为乙方提供工作方便，每次施药前，将食物和食具用台布遮</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盖 好，确保安全无误，杀虫防治处理时，应委派一名负责人协调及做好防制后的工作；</w:t>
      </w:r>
    </w:p>
    <w:p>
      <w:pPr>
        <w:numPr>
          <w:ilvl w:val="0"/>
          <w:numId w:val="6"/>
        </w:numPr>
        <w:spacing w:line="500" w:lineRule="exact"/>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突发性的鼠情、虫情出现时，应尽快的通知乙方以便及时处</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理；</w:t>
      </w:r>
    </w:p>
    <w:p>
      <w:pPr>
        <w:numPr>
          <w:ilvl w:val="0"/>
          <w:numId w:val="6"/>
        </w:numPr>
        <w:spacing w:line="500" w:lineRule="exact"/>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乙方每次灭杀工作完毕后，在“服务卡片”上签字。</w:t>
      </w:r>
    </w:p>
    <w:p>
      <w:pPr>
        <w:numPr>
          <w:ilvl w:val="0"/>
          <w:numId w:val="6"/>
        </w:numPr>
        <w:spacing w:line="500" w:lineRule="exact"/>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若乙方服务达不到“2014国家卫生城市标准”，甲方有权终止</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合同。</w:t>
      </w:r>
    </w:p>
    <w:p>
      <w:pPr>
        <w:spacing w:line="500" w:lineRule="exact"/>
        <w:ind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8、合同期满续签，每年度经甲方季度考核有两次以上合格</w:t>
      </w:r>
      <w:r>
        <w:rPr>
          <w:rFonts w:hint="eastAsia" w:ascii="宋体" w:hAnsi="宋体"/>
          <w:sz w:val="24"/>
          <w:szCs w:val="24"/>
        </w:rPr>
        <w:t>（详见附件一）</w:t>
      </w:r>
      <w:r>
        <w:rPr>
          <w:rFonts w:hint="eastAsia" w:asciiTheme="minorEastAsia" w:hAnsiTheme="minorEastAsia" w:cstheme="minorEastAsia"/>
          <w:sz w:val="24"/>
          <w:szCs w:val="24"/>
        </w:rPr>
        <w:t>，签订下一年度服务合同。</w:t>
      </w:r>
    </w:p>
    <w:p>
      <w:pPr>
        <w:spacing w:line="500" w:lineRule="exact"/>
        <w:rPr>
          <w:rFonts w:asciiTheme="minorEastAsia" w:hAnsiTheme="minorEastAsia" w:cstheme="minorEastAsia"/>
          <w:b/>
          <w:bCs/>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乙方责任</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1、依照合同要求，按规定的时间保质保量的做好灭“四害”工作；</w:t>
      </w:r>
    </w:p>
    <w:p>
      <w:pPr>
        <w:spacing w:line="500" w:lineRule="exact"/>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 xml:space="preserve">   2、坚持科学配药和安全施药，杀虫灭鼠的实施过程中，因违反</w:t>
      </w:r>
    </w:p>
    <w:p>
      <w:pPr>
        <w:spacing w:line="500" w:lineRule="exact"/>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规程造成的人员中毒事故，由乙方承担全部责任和费用；</w:t>
      </w:r>
    </w:p>
    <w:p>
      <w:pPr>
        <w:spacing w:line="360" w:lineRule="auto"/>
        <w:ind w:left="480" w:hanging="480" w:hangingChars="200"/>
        <w:jc w:val="left"/>
        <w:outlineLvl w:val="0"/>
        <w:rPr>
          <w:rFonts w:asciiTheme="minorEastAsia" w:hAnsiTheme="minorEastAsia" w:cstheme="minorEastAsia"/>
          <w:sz w:val="24"/>
          <w:szCs w:val="24"/>
        </w:rPr>
      </w:pPr>
      <w:r>
        <w:rPr>
          <w:rFonts w:hint="eastAsia" w:asciiTheme="minorEastAsia" w:hAnsiTheme="minorEastAsia" w:cstheme="minorEastAsia"/>
          <w:sz w:val="24"/>
          <w:szCs w:val="24"/>
        </w:rPr>
        <w:t xml:space="preserve">   3、在执行合同过程中，乙方参与服务的人员必须严格遵守甲方</w:t>
      </w:r>
    </w:p>
    <w:p>
      <w:pPr>
        <w:spacing w:line="360" w:lineRule="auto"/>
        <w:ind w:left="480" w:hanging="480" w:hangingChars="200"/>
        <w:jc w:val="left"/>
        <w:outlineLvl w:val="0"/>
        <w:rPr>
          <w:rFonts w:asciiTheme="minorEastAsia" w:hAnsiTheme="minorEastAsia" w:cstheme="minorEastAsia"/>
          <w:sz w:val="24"/>
          <w:szCs w:val="24"/>
        </w:rPr>
      </w:pPr>
      <w:r>
        <w:rPr>
          <w:rFonts w:hint="eastAsia" w:asciiTheme="minorEastAsia" w:hAnsiTheme="minorEastAsia" w:cstheme="minorEastAsia"/>
          <w:sz w:val="24"/>
          <w:szCs w:val="24"/>
        </w:rPr>
        <w:t>的规章制度，做到安全操作，文明施工。如若有鼠虫情发生，24小</w:t>
      </w:r>
    </w:p>
    <w:p>
      <w:pPr>
        <w:spacing w:line="360" w:lineRule="auto"/>
        <w:ind w:left="480" w:hanging="480" w:hangingChars="200"/>
        <w:jc w:val="left"/>
        <w:outlineLvl w:val="0"/>
        <w:rPr>
          <w:rFonts w:asciiTheme="minorEastAsia" w:hAnsiTheme="minorEastAsia" w:cstheme="minorEastAsia"/>
          <w:sz w:val="24"/>
          <w:szCs w:val="24"/>
        </w:rPr>
      </w:pPr>
      <w:r>
        <w:rPr>
          <w:rFonts w:hint="eastAsia" w:asciiTheme="minorEastAsia" w:hAnsiTheme="minorEastAsia" w:cstheme="minorEastAsia"/>
          <w:sz w:val="24"/>
          <w:szCs w:val="24"/>
        </w:rPr>
        <w:t xml:space="preserve">时对应服务。联系人：  电话： </w:t>
      </w:r>
    </w:p>
    <w:p>
      <w:pPr>
        <w:spacing w:line="500" w:lineRule="exact"/>
        <w:ind w:left="450" w:leftChars="100" w:hanging="240" w:hangingChars="100"/>
        <w:rPr>
          <w:rFonts w:asciiTheme="minorEastAsia" w:hAnsiTheme="minorEastAsia" w:cstheme="minorEastAsia"/>
          <w:sz w:val="24"/>
          <w:szCs w:val="24"/>
        </w:rPr>
      </w:pPr>
      <w:r>
        <w:rPr>
          <w:rFonts w:hint="eastAsia" w:asciiTheme="minorEastAsia" w:hAnsiTheme="minorEastAsia" w:cstheme="minorEastAsia"/>
          <w:sz w:val="24"/>
          <w:szCs w:val="24"/>
        </w:rPr>
        <w:t xml:space="preserve"> 4、认真做好记录，如实反映虫害、鼠情控制效果及存在的问题；</w:t>
      </w:r>
    </w:p>
    <w:p>
      <w:pPr>
        <w:spacing w:line="500" w:lineRule="exact"/>
        <w:ind w:firstLine="240" w:firstLineChars="100"/>
        <w:rPr>
          <w:rFonts w:ascii="宋体" w:hAnsi="宋体"/>
          <w:sz w:val="24"/>
          <w:szCs w:val="24"/>
        </w:rPr>
      </w:pPr>
      <w:r>
        <w:rPr>
          <w:rFonts w:hint="eastAsia" w:asciiTheme="minorEastAsia" w:hAnsiTheme="minorEastAsia" w:cstheme="minorEastAsia"/>
          <w:sz w:val="24"/>
          <w:szCs w:val="24"/>
        </w:rPr>
        <w:t>5、合同期内，按</w:t>
      </w:r>
      <w:r>
        <w:rPr>
          <w:rFonts w:hint="eastAsia" w:ascii="宋体" w:hAnsi="宋体"/>
          <w:sz w:val="24"/>
          <w:szCs w:val="24"/>
          <w:u w:val="single"/>
        </w:rPr>
        <w:t xml:space="preserve">      </w:t>
      </w:r>
      <w:r>
        <w:rPr>
          <w:rFonts w:hint="eastAsia" w:ascii="宋体" w:hAnsi="宋体"/>
          <w:sz w:val="24"/>
          <w:szCs w:val="24"/>
        </w:rPr>
        <w:t xml:space="preserve"> 灭“四害”方案进行防制，（详见附件二）</w:t>
      </w:r>
      <w:r>
        <w:rPr>
          <w:rFonts w:hint="eastAsia" w:asciiTheme="minorEastAsia" w:hAnsiTheme="minorEastAsia" w:cstheme="minorEastAsia"/>
          <w:sz w:val="24"/>
          <w:szCs w:val="24"/>
        </w:rPr>
        <w:t>，开展消杀工作一年不少于48次，每月服务上门服务两次，控制效果达到“2014国家卫生城市标准”；危害超标及时灭杀控制，如有突发性鼠情、虫情24小时内对应服务，及时处理。</w:t>
      </w:r>
    </w:p>
    <w:p>
      <w:pPr>
        <w:pStyle w:val="7"/>
        <w:spacing w:line="500" w:lineRule="exact"/>
        <w:ind w:left="480" w:hanging="480" w:hangingChars="200"/>
        <w:rPr>
          <w:rFonts w:asciiTheme="minorEastAsia" w:hAnsiTheme="minorEastAsia" w:cstheme="minorEastAsia"/>
        </w:rPr>
      </w:pPr>
      <w:r>
        <w:rPr>
          <w:rFonts w:hint="eastAsia" w:asciiTheme="minorEastAsia" w:hAnsiTheme="minorEastAsia" w:cstheme="minorEastAsia"/>
        </w:rPr>
        <w:t xml:space="preserve">   七、本合同一式四份，甲、乙双方各执二份。经甲、乙双方签字盖章后</w:t>
      </w:r>
    </w:p>
    <w:p>
      <w:pPr>
        <w:pStyle w:val="7"/>
        <w:spacing w:line="500" w:lineRule="exact"/>
        <w:ind w:left="480" w:hanging="480" w:hangingChars="200"/>
        <w:rPr>
          <w:rFonts w:asciiTheme="minorEastAsia" w:hAnsiTheme="minorEastAsia" w:cstheme="minorEastAsia"/>
        </w:rPr>
      </w:pPr>
      <w:r>
        <w:rPr>
          <w:rFonts w:hint="eastAsia" w:asciiTheme="minorEastAsia" w:hAnsiTheme="minorEastAsia" w:cstheme="minorEastAsia"/>
        </w:rPr>
        <w:t>生效.合同到期后双方商议可继续签订。</w:t>
      </w:r>
    </w:p>
    <w:p>
      <w:pPr>
        <w:pStyle w:val="7"/>
        <w:spacing w:line="500" w:lineRule="exact"/>
        <w:ind w:left="480" w:hanging="480" w:hangingChars="200"/>
        <w:rPr>
          <w:rFonts w:asciiTheme="minorEastAsia" w:hAnsiTheme="minorEastAsia" w:cstheme="minorEastAsia"/>
        </w:rPr>
      </w:pPr>
      <w:r>
        <w:rPr>
          <w:rFonts w:hint="eastAsia" w:asciiTheme="minorEastAsia" w:hAnsiTheme="minorEastAsia" w:cstheme="minorEastAsia"/>
        </w:rPr>
        <w:t xml:space="preserve">   八、合同执行过程中，若有增加或删减项目时，双方共同商议解</w:t>
      </w:r>
    </w:p>
    <w:p>
      <w:pPr>
        <w:pStyle w:val="7"/>
        <w:spacing w:line="500" w:lineRule="exact"/>
        <w:ind w:left="480" w:hanging="480" w:hangingChars="200"/>
        <w:rPr>
          <w:rFonts w:asciiTheme="minorEastAsia" w:hAnsiTheme="minorEastAsia" w:cstheme="minorEastAsia"/>
        </w:rPr>
      </w:pPr>
      <w:r>
        <w:rPr>
          <w:rFonts w:hint="eastAsia" w:asciiTheme="minorEastAsia" w:hAnsiTheme="minorEastAsia" w:cstheme="minorEastAsia"/>
        </w:rPr>
        <w:t>决，协商不成时。任何一方可向黄石市仲裁委员会申请仲裁。</w:t>
      </w:r>
    </w:p>
    <w:p>
      <w:pPr>
        <w:pStyle w:val="7"/>
        <w:spacing w:line="500" w:lineRule="exact"/>
        <w:ind w:left="480" w:hanging="480" w:hangingChars="200"/>
        <w:rPr>
          <w:rFonts w:asciiTheme="minorEastAsia" w:hAnsiTheme="minorEastAsia" w:cstheme="minorEastAsia"/>
        </w:rPr>
      </w:pPr>
      <w:r>
        <w:rPr>
          <w:rFonts w:hint="eastAsia" w:asciiTheme="minorEastAsia" w:hAnsiTheme="minorEastAsia" w:cstheme="minorEastAsia"/>
        </w:rPr>
        <w:t xml:space="preserve">   九、其他未尽事宜，双方可另行协商，协商结果作为附件,双方</w:t>
      </w:r>
    </w:p>
    <w:p>
      <w:pPr>
        <w:pStyle w:val="7"/>
        <w:spacing w:line="500" w:lineRule="exact"/>
        <w:ind w:left="480" w:hanging="480" w:hangingChars="200"/>
        <w:rPr>
          <w:rFonts w:asciiTheme="minorEastAsia" w:hAnsiTheme="minorEastAsia" w:cstheme="minorEastAsia"/>
        </w:rPr>
      </w:pPr>
      <w:r>
        <w:rPr>
          <w:rFonts w:hint="eastAsia" w:asciiTheme="minorEastAsia" w:hAnsiTheme="minorEastAsia" w:cstheme="minorEastAsia"/>
        </w:rPr>
        <w:t>盖章,具备合同同等法律效力。</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甲方（签字盖章）：                   乙方（签字盖章）：</w:t>
      </w:r>
    </w:p>
    <w:p>
      <w:pPr>
        <w:spacing w:line="360" w:lineRule="auto"/>
        <w:rPr>
          <w:rFonts w:hAnsi="宋体"/>
          <w:sz w:val="24"/>
          <w:szCs w:val="24"/>
        </w:rPr>
      </w:pPr>
    </w:p>
    <w:p>
      <w:pPr>
        <w:spacing w:line="360" w:lineRule="auto"/>
        <w:rPr>
          <w:rFonts w:asciiTheme="minorEastAsia" w:hAnsiTheme="minorEastAsia" w:cstheme="minorEastAsia"/>
          <w:sz w:val="24"/>
          <w:szCs w:val="24"/>
        </w:rPr>
      </w:pPr>
      <w:r>
        <w:rPr>
          <w:rFonts w:hint="eastAsia" w:hAnsi="宋体"/>
          <w:sz w:val="24"/>
          <w:szCs w:val="24"/>
        </w:rPr>
        <w:t>甲方代表签名：</w:t>
      </w:r>
      <w:r>
        <w:rPr>
          <w:rFonts w:hAnsi="宋体"/>
          <w:sz w:val="24"/>
          <w:szCs w:val="24"/>
        </w:rPr>
        <w:t xml:space="preserve">                      </w:t>
      </w:r>
      <w:r>
        <w:rPr>
          <w:rFonts w:hint="eastAsia" w:hAnsi="宋体"/>
          <w:sz w:val="24"/>
          <w:szCs w:val="24"/>
        </w:rPr>
        <w:t>乙方代表签名：</w:t>
      </w:r>
    </w:p>
    <w:p>
      <w:p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联系电话：                           联系电话：</w:t>
      </w:r>
    </w:p>
    <w:p>
      <w:pPr>
        <w:spacing w:line="500" w:lineRule="exact"/>
        <w:ind w:firstLine="960" w:firstLineChars="400"/>
        <w:rPr>
          <w:rFonts w:cs="宋体"/>
          <w:sz w:val="24"/>
          <w:szCs w:val="24"/>
        </w:rPr>
      </w:pPr>
      <w:r>
        <w:rPr>
          <w:rFonts w:hint="eastAsia" w:asciiTheme="minorEastAsia" w:hAnsiTheme="minorEastAsia" w:cstheme="minorEastAsia"/>
          <w:sz w:val="24"/>
          <w:szCs w:val="24"/>
        </w:rPr>
        <w:t xml:space="preserve">年  月  日                     </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 xml:space="preserve">年  月  日  </w:t>
      </w:r>
      <w:r>
        <w:rPr>
          <w:rFonts w:asciiTheme="minorEastAsia" w:hAnsiTheme="minorEastAsia" w:cstheme="minorEastAsia"/>
          <w:sz w:val="24"/>
          <w:szCs w:val="24"/>
        </w:rPr>
        <w:t xml:space="preserve">  </w:t>
      </w:r>
      <w:bookmarkStart w:id="73" w:name="_Toc44692157"/>
      <w:bookmarkStart w:id="74" w:name="_Toc456291165"/>
      <w:bookmarkStart w:id="75" w:name="_Toc456291280"/>
      <w:bookmarkStart w:id="76" w:name="_Toc15914"/>
      <w:bookmarkStart w:id="77" w:name="_Toc456291537"/>
      <w:bookmarkStart w:id="78" w:name="_Toc456291354"/>
      <w:bookmarkStart w:id="79" w:name="_Toc456291260"/>
      <w:bookmarkStart w:id="80" w:name="_Toc456291479"/>
    </w:p>
    <w:p>
      <w:pPr>
        <w:spacing w:line="500" w:lineRule="exact"/>
        <w:ind w:left="2168" w:hanging="2168" w:hangingChars="900"/>
        <w:rPr>
          <w:rFonts w:asciiTheme="minorEastAsia" w:hAnsiTheme="minorEastAsia" w:cstheme="minorEastAsia"/>
          <w:b/>
          <w:bCs/>
          <w:sz w:val="24"/>
          <w:szCs w:val="24"/>
        </w:rPr>
      </w:pPr>
      <w:r>
        <w:rPr>
          <w:rFonts w:hint="eastAsia" w:ascii="宋体" w:hAnsi="宋体"/>
          <w:b/>
          <w:bCs/>
          <w:sz w:val="24"/>
          <w:szCs w:val="24"/>
        </w:rPr>
        <w:t>（附件一）</w:t>
      </w:r>
    </w:p>
    <w:p>
      <w:pPr>
        <w:jc w:val="center"/>
        <w:rPr>
          <w:sz w:val="36"/>
          <w:szCs w:val="36"/>
        </w:rPr>
      </w:pPr>
      <w:r>
        <w:rPr>
          <w:rFonts w:hint="eastAsia"/>
          <w:sz w:val="36"/>
          <w:szCs w:val="36"/>
          <w:u w:val="single"/>
        </w:rPr>
        <w:t xml:space="preserve">     </w:t>
      </w:r>
      <w:r>
        <w:rPr>
          <w:rFonts w:hint="eastAsia"/>
          <w:sz w:val="36"/>
          <w:szCs w:val="36"/>
        </w:rPr>
        <w:t>年第</w:t>
      </w:r>
      <w:r>
        <w:rPr>
          <w:rFonts w:hint="eastAsia"/>
          <w:sz w:val="36"/>
          <w:szCs w:val="36"/>
          <w:u w:val="single"/>
        </w:rPr>
        <w:t xml:space="preserve">  </w:t>
      </w:r>
      <w:r>
        <w:rPr>
          <w:rFonts w:hint="eastAsia"/>
          <w:sz w:val="36"/>
          <w:szCs w:val="36"/>
        </w:rPr>
        <w:t>季度灭“四害”服务考核表</w:t>
      </w:r>
    </w:p>
    <w:p/>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968"/>
        <w:gridCol w:w="2741"/>
        <w:gridCol w:w="230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Align w:val="center"/>
          </w:tcPr>
          <w:p>
            <w:pPr>
              <w:jc w:val="center"/>
            </w:pPr>
            <w:r>
              <w:rPr>
                <w:rFonts w:hint="eastAsia"/>
              </w:rPr>
              <w:t>项目</w:t>
            </w:r>
          </w:p>
        </w:tc>
        <w:tc>
          <w:tcPr>
            <w:tcW w:w="968" w:type="dxa"/>
            <w:vAlign w:val="center"/>
          </w:tcPr>
          <w:p>
            <w:pPr>
              <w:jc w:val="center"/>
            </w:pPr>
            <w:r>
              <w:rPr>
                <w:rFonts w:hint="eastAsia"/>
              </w:rPr>
              <w:t>分值</w:t>
            </w:r>
          </w:p>
        </w:tc>
        <w:tc>
          <w:tcPr>
            <w:tcW w:w="2741" w:type="dxa"/>
            <w:vAlign w:val="center"/>
          </w:tcPr>
          <w:p>
            <w:pPr>
              <w:jc w:val="center"/>
            </w:pPr>
            <w:r>
              <w:rPr>
                <w:rFonts w:hint="eastAsia"/>
              </w:rPr>
              <w:t>考核标准</w:t>
            </w:r>
          </w:p>
        </w:tc>
        <w:tc>
          <w:tcPr>
            <w:tcW w:w="2305" w:type="dxa"/>
            <w:vAlign w:val="center"/>
          </w:tcPr>
          <w:p>
            <w:pPr>
              <w:jc w:val="center"/>
            </w:pPr>
            <w:r>
              <w:rPr>
                <w:rFonts w:hint="eastAsia"/>
              </w:rPr>
              <w:t>扣分细则</w:t>
            </w:r>
          </w:p>
        </w:tc>
        <w:tc>
          <w:tcPr>
            <w:tcW w:w="981" w:type="dxa"/>
            <w:vAlign w:val="center"/>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527" w:type="dxa"/>
            <w:vMerge w:val="restart"/>
            <w:vAlign w:val="center"/>
          </w:tcPr>
          <w:p>
            <w:pPr>
              <w:jc w:val="center"/>
            </w:pPr>
            <w:r>
              <w:rPr>
                <w:rFonts w:hint="eastAsia"/>
              </w:rPr>
              <w:t>工作计划、总结、资料汇编等完成情况</w:t>
            </w:r>
          </w:p>
        </w:tc>
        <w:tc>
          <w:tcPr>
            <w:tcW w:w="968" w:type="dxa"/>
            <w:vAlign w:val="center"/>
          </w:tcPr>
          <w:p>
            <w:pPr>
              <w:jc w:val="center"/>
            </w:pPr>
            <w:r>
              <w:rPr>
                <w:rFonts w:hint="eastAsia"/>
              </w:rPr>
              <w:t>6分</w:t>
            </w:r>
          </w:p>
        </w:tc>
        <w:tc>
          <w:tcPr>
            <w:tcW w:w="2741" w:type="dxa"/>
            <w:vAlign w:val="center"/>
          </w:tcPr>
          <w:p>
            <w:pPr>
              <w:jc w:val="center"/>
            </w:pPr>
            <w:r>
              <w:rPr>
                <w:rFonts w:hint="eastAsia"/>
              </w:rPr>
              <w:t>1、按时提交季度和年度计划、总结、创卫资料（6分）</w:t>
            </w:r>
          </w:p>
        </w:tc>
        <w:tc>
          <w:tcPr>
            <w:tcW w:w="2305" w:type="dxa"/>
            <w:vAlign w:val="center"/>
          </w:tcPr>
          <w:p>
            <w:pPr>
              <w:jc w:val="center"/>
            </w:pPr>
            <w:r>
              <w:rPr>
                <w:rFonts w:hint="eastAsia"/>
              </w:rPr>
              <w:t>未按规定时间提交计划、总结、资料，每次每项扣2分；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527" w:type="dxa"/>
            <w:vMerge w:val="continue"/>
            <w:vAlign w:val="center"/>
          </w:tcPr>
          <w:p>
            <w:pPr>
              <w:jc w:val="center"/>
            </w:pPr>
          </w:p>
        </w:tc>
        <w:tc>
          <w:tcPr>
            <w:tcW w:w="968" w:type="dxa"/>
            <w:vAlign w:val="center"/>
          </w:tcPr>
          <w:p>
            <w:pPr>
              <w:jc w:val="center"/>
            </w:pPr>
            <w:r>
              <w:rPr>
                <w:rFonts w:hint="eastAsia"/>
              </w:rPr>
              <w:t>6分</w:t>
            </w:r>
          </w:p>
          <w:p>
            <w:pPr>
              <w:jc w:val="center"/>
            </w:pPr>
          </w:p>
        </w:tc>
        <w:tc>
          <w:tcPr>
            <w:tcW w:w="2741" w:type="dxa"/>
            <w:vAlign w:val="center"/>
          </w:tcPr>
          <w:p>
            <w:pPr>
              <w:jc w:val="center"/>
            </w:pPr>
            <w:r>
              <w:rPr>
                <w:rFonts w:hint="eastAsia"/>
              </w:rPr>
              <w:t>2、提交的计划、总结、资料达到预期目标（6分）</w:t>
            </w:r>
          </w:p>
        </w:tc>
        <w:tc>
          <w:tcPr>
            <w:tcW w:w="2305" w:type="dxa"/>
            <w:vAlign w:val="center"/>
          </w:tcPr>
          <w:p>
            <w:pPr>
              <w:jc w:val="center"/>
            </w:pPr>
            <w:r>
              <w:rPr>
                <w:rFonts w:hint="eastAsia"/>
              </w:rPr>
              <w:t>未按时完成或未达到预期要求，每项扣2分。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restart"/>
            <w:vAlign w:val="center"/>
          </w:tcPr>
          <w:p>
            <w:r>
              <w:rPr>
                <w:rFonts w:hint="eastAsia"/>
              </w:rPr>
              <w:t>现场管理</w:t>
            </w:r>
          </w:p>
        </w:tc>
        <w:tc>
          <w:tcPr>
            <w:tcW w:w="968" w:type="dxa"/>
            <w:vAlign w:val="center"/>
          </w:tcPr>
          <w:p>
            <w:pPr>
              <w:jc w:val="center"/>
            </w:pPr>
            <w:r>
              <w:rPr>
                <w:rFonts w:hint="eastAsia"/>
              </w:rPr>
              <w:t>12</w:t>
            </w:r>
          </w:p>
        </w:tc>
        <w:tc>
          <w:tcPr>
            <w:tcW w:w="2741" w:type="dxa"/>
            <w:vAlign w:val="center"/>
          </w:tcPr>
          <w:p>
            <w:pPr>
              <w:jc w:val="center"/>
            </w:pPr>
            <w:r>
              <w:rPr>
                <w:rFonts w:hint="eastAsia"/>
              </w:rPr>
              <w:t>每月对院区防治范围内地区的毒饵站进行全面投药两次（12分）</w:t>
            </w:r>
          </w:p>
        </w:tc>
        <w:tc>
          <w:tcPr>
            <w:tcW w:w="2305" w:type="dxa"/>
            <w:vAlign w:val="center"/>
          </w:tcPr>
          <w:p>
            <w:pPr>
              <w:jc w:val="center"/>
            </w:pPr>
            <w:r>
              <w:rPr>
                <w:rFonts w:hint="eastAsia"/>
              </w:rPr>
              <w:t>未完成每次扣2分；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vAlign w:val="center"/>
          </w:tcPr>
          <w:p>
            <w:pPr>
              <w:jc w:val="center"/>
            </w:pPr>
          </w:p>
        </w:tc>
        <w:tc>
          <w:tcPr>
            <w:tcW w:w="968" w:type="dxa"/>
            <w:vAlign w:val="center"/>
          </w:tcPr>
          <w:p>
            <w:pPr>
              <w:jc w:val="center"/>
            </w:pPr>
            <w:r>
              <w:rPr>
                <w:rFonts w:hint="eastAsia"/>
              </w:rPr>
              <w:t>12</w:t>
            </w:r>
          </w:p>
        </w:tc>
        <w:tc>
          <w:tcPr>
            <w:tcW w:w="2741" w:type="dxa"/>
            <w:vAlign w:val="center"/>
          </w:tcPr>
          <w:p>
            <w:pPr>
              <w:jc w:val="center"/>
            </w:pPr>
            <w:r>
              <w:rPr>
                <w:rFonts w:hint="eastAsia"/>
              </w:rPr>
              <w:t>每月对院区防制范围内地区进行灭蟑，每月两次（12分）</w:t>
            </w:r>
          </w:p>
        </w:tc>
        <w:tc>
          <w:tcPr>
            <w:tcW w:w="2305" w:type="dxa"/>
            <w:vAlign w:val="center"/>
          </w:tcPr>
          <w:p>
            <w:pPr>
              <w:jc w:val="center"/>
            </w:pPr>
            <w:r>
              <w:rPr>
                <w:rFonts w:hint="eastAsia"/>
              </w:rPr>
              <w:t>未完成每次扣2分；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vAlign w:val="center"/>
          </w:tcPr>
          <w:p>
            <w:pPr>
              <w:jc w:val="center"/>
            </w:pPr>
          </w:p>
        </w:tc>
        <w:tc>
          <w:tcPr>
            <w:tcW w:w="968" w:type="dxa"/>
            <w:vAlign w:val="center"/>
          </w:tcPr>
          <w:p>
            <w:pPr>
              <w:jc w:val="center"/>
            </w:pPr>
            <w:r>
              <w:rPr>
                <w:rFonts w:hint="eastAsia"/>
              </w:rPr>
              <w:t>6</w:t>
            </w:r>
          </w:p>
        </w:tc>
        <w:tc>
          <w:tcPr>
            <w:tcW w:w="2741" w:type="dxa"/>
            <w:vAlign w:val="center"/>
          </w:tcPr>
          <w:p>
            <w:pPr>
              <w:jc w:val="center"/>
            </w:pPr>
            <w:r>
              <w:rPr>
                <w:rFonts w:hint="eastAsia"/>
              </w:rPr>
              <w:t>4-10月每月对院区防制范围内地区进行蚊蝇消杀，每月2次（6分）</w:t>
            </w:r>
          </w:p>
        </w:tc>
        <w:tc>
          <w:tcPr>
            <w:tcW w:w="2305" w:type="dxa"/>
            <w:vAlign w:val="center"/>
          </w:tcPr>
          <w:p>
            <w:pPr>
              <w:jc w:val="center"/>
            </w:pPr>
            <w:r>
              <w:rPr>
                <w:rFonts w:hint="eastAsia"/>
              </w:rPr>
              <w:t>未完成每次扣2分；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vAlign w:val="center"/>
          </w:tcPr>
          <w:p>
            <w:pPr>
              <w:jc w:val="center"/>
            </w:pPr>
          </w:p>
        </w:tc>
        <w:tc>
          <w:tcPr>
            <w:tcW w:w="968" w:type="dxa"/>
            <w:vAlign w:val="center"/>
          </w:tcPr>
          <w:p>
            <w:pPr>
              <w:jc w:val="center"/>
            </w:pPr>
            <w:r>
              <w:rPr>
                <w:rFonts w:hint="eastAsia"/>
              </w:rPr>
              <w:t>12</w:t>
            </w:r>
          </w:p>
        </w:tc>
        <w:tc>
          <w:tcPr>
            <w:tcW w:w="2741" w:type="dxa"/>
            <w:vAlign w:val="center"/>
          </w:tcPr>
          <w:p>
            <w:pPr>
              <w:jc w:val="center"/>
            </w:pPr>
            <w:r>
              <w:rPr>
                <w:rFonts w:hint="eastAsia"/>
              </w:rPr>
              <w:t>突发问题24小时内响应，并得到处理或解决（12分）</w:t>
            </w:r>
          </w:p>
        </w:tc>
        <w:tc>
          <w:tcPr>
            <w:tcW w:w="2305" w:type="dxa"/>
            <w:vAlign w:val="center"/>
          </w:tcPr>
          <w:p>
            <w:pPr>
              <w:jc w:val="center"/>
            </w:pPr>
            <w:r>
              <w:rPr>
                <w:rFonts w:hint="eastAsia"/>
              </w:rPr>
              <w:t>未在规定时限内处理或处理，每次扣4分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vAlign w:val="center"/>
          </w:tcPr>
          <w:p>
            <w:pPr>
              <w:jc w:val="center"/>
            </w:pPr>
          </w:p>
        </w:tc>
        <w:tc>
          <w:tcPr>
            <w:tcW w:w="968" w:type="dxa"/>
            <w:vAlign w:val="center"/>
          </w:tcPr>
          <w:p>
            <w:pPr>
              <w:jc w:val="center"/>
            </w:pPr>
            <w:r>
              <w:rPr>
                <w:rFonts w:hint="eastAsia"/>
              </w:rPr>
              <w:t>8</w:t>
            </w:r>
          </w:p>
        </w:tc>
        <w:tc>
          <w:tcPr>
            <w:tcW w:w="2741" w:type="dxa"/>
            <w:vAlign w:val="center"/>
          </w:tcPr>
          <w:p>
            <w:pPr>
              <w:jc w:val="center"/>
            </w:pPr>
            <w:r>
              <w:rPr>
                <w:rFonts w:hint="eastAsia"/>
              </w:rPr>
              <w:t>现场工作人员遵守医院规章制度，规范作业（8分）</w:t>
            </w:r>
          </w:p>
        </w:tc>
        <w:tc>
          <w:tcPr>
            <w:tcW w:w="2305" w:type="dxa"/>
            <w:vAlign w:val="center"/>
          </w:tcPr>
          <w:p>
            <w:pPr>
              <w:jc w:val="center"/>
            </w:pPr>
            <w:r>
              <w:rPr>
                <w:rFonts w:hint="eastAsia"/>
              </w:rPr>
              <w:t>出现不规范作业、野蛮作业或纠纷现象的，每次扣2分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527" w:type="dxa"/>
            <w:vMerge w:val="continue"/>
            <w:vAlign w:val="center"/>
          </w:tcPr>
          <w:p>
            <w:pPr>
              <w:jc w:val="center"/>
            </w:pPr>
          </w:p>
        </w:tc>
        <w:tc>
          <w:tcPr>
            <w:tcW w:w="968" w:type="dxa"/>
            <w:vAlign w:val="center"/>
          </w:tcPr>
          <w:p>
            <w:pPr>
              <w:jc w:val="center"/>
            </w:pPr>
            <w:r>
              <w:rPr>
                <w:rFonts w:hint="eastAsia"/>
              </w:rPr>
              <w:t>10</w:t>
            </w:r>
          </w:p>
        </w:tc>
        <w:tc>
          <w:tcPr>
            <w:tcW w:w="2741" w:type="dxa"/>
            <w:vAlign w:val="center"/>
          </w:tcPr>
          <w:p>
            <w:r>
              <w:rPr>
                <w:rFonts w:hint="eastAsia"/>
              </w:rPr>
              <w:t>有无投诉、责任事故发生（10分）</w:t>
            </w:r>
          </w:p>
        </w:tc>
        <w:tc>
          <w:tcPr>
            <w:tcW w:w="2305" w:type="dxa"/>
            <w:vAlign w:val="center"/>
          </w:tcPr>
          <w:p>
            <w:pPr>
              <w:jc w:val="center"/>
            </w:pPr>
            <w:r>
              <w:rPr>
                <w:rFonts w:hint="eastAsia"/>
              </w:rPr>
              <w:t>发生一次投诉每次扣5分，发生责任事故，现场管理得0分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restart"/>
            <w:vAlign w:val="center"/>
          </w:tcPr>
          <w:p>
            <w:pPr>
              <w:jc w:val="center"/>
            </w:pPr>
            <w:r>
              <w:rPr>
                <w:rFonts w:hint="eastAsia"/>
              </w:rPr>
              <w:t>要求</w:t>
            </w:r>
          </w:p>
        </w:tc>
        <w:tc>
          <w:tcPr>
            <w:tcW w:w="968" w:type="dxa"/>
            <w:vAlign w:val="center"/>
          </w:tcPr>
          <w:p>
            <w:pPr>
              <w:jc w:val="center"/>
            </w:pPr>
            <w:r>
              <w:rPr>
                <w:rFonts w:hint="eastAsia"/>
              </w:rPr>
              <w:t>10</w:t>
            </w:r>
          </w:p>
        </w:tc>
        <w:tc>
          <w:tcPr>
            <w:tcW w:w="2741" w:type="dxa"/>
            <w:vAlign w:val="center"/>
          </w:tcPr>
          <w:p>
            <w:pPr>
              <w:jc w:val="center"/>
            </w:pPr>
            <w:r>
              <w:rPr>
                <w:rFonts w:hint="eastAsia"/>
              </w:rPr>
              <w:t>所使用的药物是否符合国家规定</w:t>
            </w:r>
          </w:p>
        </w:tc>
        <w:tc>
          <w:tcPr>
            <w:tcW w:w="2305" w:type="dxa"/>
            <w:vAlign w:val="center"/>
          </w:tcPr>
          <w:p>
            <w:pPr>
              <w:jc w:val="center"/>
            </w:pPr>
            <w:r>
              <w:rPr>
                <w:rFonts w:hint="eastAsia"/>
              </w:rPr>
              <w:t>不符合扣10分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vAlign w:val="center"/>
          </w:tcPr>
          <w:p>
            <w:pPr>
              <w:jc w:val="center"/>
            </w:pPr>
          </w:p>
        </w:tc>
        <w:tc>
          <w:tcPr>
            <w:tcW w:w="968" w:type="dxa"/>
            <w:vAlign w:val="center"/>
          </w:tcPr>
          <w:p>
            <w:pPr>
              <w:jc w:val="center"/>
            </w:pPr>
            <w:r>
              <w:rPr>
                <w:rFonts w:hint="eastAsia"/>
              </w:rPr>
              <w:t>10</w:t>
            </w:r>
          </w:p>
        </w:tc>
        <w:tc>
          <w:tcPr>
            <w:tcW w:w="2741" w:type="dxa"/>
            <w:vAlign w:val="center"/>
          </w:tcPr>
          <w:p>
            <w:pPr>
              <w:jc w:val="center"/>
            </w:pPr>
            <w:r>
              <w:rPr>
                <w:rFonts w:hint="eastAsia"/>
              </w:rPr>
              <w:t>活鼠、成蝇、蟑螂密度是否在控制范围内</w:t>
            </w:r>
          </w:p>
        </w:tc>
        <w:tc>
          <w:tcPr>
            <w:tcW w:w="2305" w:type="dxa"/>
            <w:vAlign w:val="center"/>
          </w:tcPr>
          <w:p>
            <w:pPr>
              <w:jc w:val="center"/>
            </w:pPr>
            <w:r>
              <w:rPr>
                <w:rFonts w:hint="eastAsia"/>
              </w:rPr>
              <w:t>不达标扣10分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vAlign w:val="center"/>
          </w:tcPr>
          <w:p>
            <w:pPr>
              <w:jc w:val="center"/>
            </w:pPr>
          </w:p>
        </w:tc>
        <w:tc>
          <w:tcPr>
            <w:tcW w:w="968" w:type="dxa"/>
            <w:vAlign w:val="center"/>
          </w:tcPr>
          <w:p>
            <w:pPr>
              <w:jc w:val="center"/>
            </w:pPr>
            <w:r>
              <w:rPr>
                <w:rFonts w:hint="eastAsia"/>
              </w:rPr>
              <w:t>8</w:t>
            </w:r>
          </w:p>
        </w:tc>
        <w:tc>
          <w:tcPr>
            <w:tcW w:w="2741" w:type="dxa"/>
            <w:vAlign w:val="center"/>
          </w:tcPr>
          <w:p>
            <w:pPr>
              <w:jc w:val="center"/>
            </w:pPr>
            <w:r>
              <w:rPr>
                <w:rFonts w:hint="eastAsia"/>
              </w:rPr>
              <w:t>是否能提供完整的灭杀服务卡资料</w:t>
            </w:r>
          </w:p>
        </w:tc>
        <w:tc>
          <w:tcPr>
            <w:tcW w:w="2305" w:type="dxa"/>
            <w:vAlign w:val="center"/>
          </w:tcPr>
          <w:p>
            <w:pPr>
              <w:jc w:val="center"/>
            </w:pPr>
            <w:r>
              <w:rPr>
                <w:rFonts w:hint="eastAsia"/>
              </w:rPr>
              <w:t>服务资料缺1次扣1分</w:t>
            </w:r>
          </w:p>
        </w:tc>
        <w:tc>
          <w:tcPr>
            <w:tcW w:w="9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27" w:type="dxa"/>
            <w:vAlign w:val="center"/>
          </w:tcPr>
          <w:p>
            <w:pPr>
              <w:jc w:val="center"/>
            </w:pPr>
            <w:r>
              <w:rPr>
                <w:rFonts w:hint="eastAsia"/>
              </w:rPr>
              <w:t>得分</w:t>
            </w:r>
          </w:p>
        </w:tc>
        <w:tc>
          <w:tcPr>
            <w:tcW w:w="968" w:type="dxa"/>
            <w:vAlign w:val="center"/>
          </w:tcPr>
          <w:p>
            <w:pPr>
              <w:jc w:val="center"/>
            </w:pPr>
            <w:r>
              <w:rPr>
                <w:rFonts w:hint="eastAsia"/>
              </w:rPr>
              <w:t>100</w:t>
            </w:r>
          </w:p>
        </w:tc>
        <w:tc>
          <w:tcPr>
            <w:tcW w:w="2741" w:type="dxa"/>
            <w:vAlign w:val="center"/>
          </w:tcPr>
          <w:p>
            <w:pPr>
              <w:jc w:val="center"/>
            </w:pPr>
          </w:p>
        </w:tc>
        <w:tc>
          <w:tcPr>
            <w:tcW w:w="2305" w:type="dxa"/>
            <w:vAlign w:val="center"/>
          </w:tcPr>
          <w:p>
            <w:pPr>
              <w:jc w:val="center"/>
            </w:pPr>
          </w:p>
        </w:tc>
        <w:tc>
          <w:tcPr>
            <w:tcW w:w="981" w:type="dxa"/>
            <w:vAlign w:val="center"/>
          </w:tcPr>
          <w:p>
            <w:pPr>
              <w:jc w:val="center"/>
            </w:pPr>
          </w:p>
        </w:tc>
      </w:tr>
    </w:tbl>
    <w:p/>
    <w:p>
      <w:r>
        <w:rPr>
          <w:rFonts w:hint="eastAsia"/>
        </w:rPr>
        <w:t>检查人员：                                       检查日期：</w:t>
      </w:r>
    </w:p>
    <w:p/>
    <w:p>
      <w:pPr>
        <w:ind w:firstLine="420" w:firstLineChars="200"/>
        <w:rPr>
          <w:rFonts w:ascii="宋体" w:hAnsi="宋体"/>
          <w:b/>
          <w:bCs/>
          <w:sz w:val="28"/>
          <w:szCs w:val="28"/>
        </w:rPr>
      </w:pPr>
      <w:r>
        <w:rPr>
          <w:rFonts w:hint="eastAsia"/>
        </w:rPr>
        <w:t>以上考核90分为合格，每低1分扣减服务费用100元，低于70分为不合格，以上考核内容根据医院实际情况进行调整。</w:t>
      </w:r>
    </w:p>
    <w:p>
      <w:pPr>
        <w:spacing w:line="500" w:lineRule="exact"/>
        <w:ind w:left="2530" w:hanging="2530" w:hangingChars="900"/>
        <w:rPr>
          <w:rFonts w:ascii="宋体" w:hAnsi="宋体"/>
          <w:b/>
          <w:bCs/>
          <w:sz w:val="28"/>
          <w:szCs w:val="28"/>
        </w:rPr>
      </w:pPr>
    </w:p>
    <w:p>
      <w:pPr>
        <w:spacing w:line="500" w:lineRule="exact"/>
        <w:ind w:left="2530" w:hanging="2530" w:hangingChars="900"/>
        <w:rPr>
          <w:rFonts w:ascii="宋体" w:hAnsi="宋体"/>
          <w:b/>
          <w:bCs/>
          <w:sz w:val="28"/>
          <w:szCs w:val="28"/>
        </w:rPr>
      </w:pPr>
    </w:p>
    <w:p>
      <w:pPr>
        <w:spacing w:line="500" w:lineRule="exact"/>
        <w:ind w:left="2530" w:hanging="2530" w:hangingChars="900"/>
        <w:rPr>
          <w:rFonts w:ascii="宋体" w:hAnsi="宋体"/>
          <w:b/>
          <w:bCs/>
          <w:sz w:val="28"/>
          <w:szCs w:val="28"/>
        </w:rPr>
      </w:pPr>
    </w:p>
    <w:p>
      <w:pPr>
        <w:spacing w:line="500" w:lineRule="exact"/>
        <w:ind w:left="2530" w:hanging="2530" w:hangingChars="900"/>
        <w:rPr>
          <w:rFonts w:ascii="宋体" w:hAnsi="宋体"/>
          <w:b/>
          <w:bCs/>
          <w:sz w:val="28"/>
          <w:szCs w:val="28"/>
        </w:rPr>
      </w:pPr>
    </w:p>
    <w:p>
      <w:pPr>
        <w:spacing w:line="500" w:lineRule="exact"/>
        <w:ind w:left="2530" w:hanging="2530" w:hangingChars="900"/>
        <w:rPr>
          <w:rFonts w:asciiTheme="minorEastAsia" w:hAnsiTheme="minorEastAsia" w:cstheme="minorEastAsia"/>
          <w:b/>
          <w:bCs/>
          <w:sz w:val="28"/>
          <w:szCs w:val="28"/>
        </w:rPr>
      </w:pPr>
      <w:r>
        <w:rPr>
          <w:rFonts w:hint="eastAsia" w:ascii="宋体" w:hAnsi="宋体"/>
          <w:b/>
          <w:bCs/>
          <w:sz w:val="28"/>
          <w:szCs w:val="28"/>
        </w:rPr>
        <w:t>（附件二）</w:t>
      </w:r>
    </w:p>
    <w:p>
      <w:pPr>
        <w:autoSpaceDE w:val="0"/>
        <w:autoSpaceDN w:val="0"/>
        <w:adjustRightInd w:val="0"/>
        <w:spacing w:line="360" w:lineRule="auto"/>
        <w:ind w:firstLine="1606" w:firstLineChars="500"/>
        <w:rPr>
          <w:rFonts w:ascii="宋体" w:hAnsi="宋体"/>
          <w:sz w:val="32"/>
          <w:szCs w:val="32"/>
        </w:rPr>
      </w:pPr>
      <w:bookmarkStart w:id="81" w:name="_Toc358447573"/>
      <w:bookmarkStart w:id="82" w:name="_Toc423417722"/>
      <w:r>
        <w:rPr>
          <w:rFonts w:hint="eastAsia" w:ascii="宋体" w:hAnsi="宋体"/>
          <w:b/>
          <w:bCs/>
          <w:sz w:val="32"/>
          <w:szCs w:val="32"/>
        </w:rPr>
        <w:t>黄石市中心医院灭“四害”方案</w:t>
      </w:r>
    </w:p>
    <w:p>
      <w:pPr>
        <w:spacing w:line="500" w:lineRule="exact"/>
        <w:ind w:firstLine="422" w:firstLineChars="200"/>
        <w:rPr>
          <w:rFonts w:ascii="宋体" w:hAnsi="宋体"/>
          <w:b/>
          <w:szCs w:val="21"/>
        </w:rPr>
      </w:pPr>
      <w:r>
        <w:rPr>
          <w:rFonts w:hint="eastAsia" w:ascii="宋体" w:hAnsi="宋体"/>
          <w:b/>
          <w:szCs w:val="21"/>
        </w:rPr>
        <w:t>一、施工范围：</w:t>
      </w:r>
    </w:p>
    <w:p>
      <w:pPr>
        <w:spacing w:line="500" w:lineRule="exact"/>
        <w:ind w:firstLine="420" w:firstLineChars="200"/>
        <w:rPr>
          <w:rFonts w:ascii="宋体" w:hAnsi="宋体"/>
          <w:bCs/>
          <w:szCs w:val="21"/>
        </w:rPr>
      </w:pPr>
      <w:r>
        <w:rPr>
          <w:rFonts w:hint="eastAsia" w:ascii="宋体" w:hAnsi="宋体"/>
          <w:bCs/>
          <w:szCs w:val="21"/>
        </w:rPr>
        <w:t>1、中心院区服务范围：行政办公楼1-12号楼、各门诊病区、科室、电梯井道、卫生局办公楼8-10楼、地下室公共部位后勤各班组、库房、球馆、食堂、家属区、院内下水道、院内绿化区域。</w:t>
      </w:r>
    </w:p>
    <w:p>
      <w:pPr>
        <w:spacing w:line="500" w:lineRule="exact"/>
        <w:ind w:firstLine="420" w:firstLineChars="200"/>
        <w:rPr>
          <w:rFonts w:ascii="宋体" w:hAnsi="宋体"/>
          <w:szCs w:val="21"/>
        </w:rPr>
      </w:pPr>
      <w:r>
        <w:rPr>
          <w:rFonts w:hint="eastAsia" w:ascii="宋体" w:hAnsi="宋体"/>
          <w:bCs/>
          <w:szCs w:val="21"/>
        </w:rPr>
        <w:t>2、普爱院区服务范围</w:t>
      </w:r>
      <w:r>
        <w:rPr>
          <w:rFonts w:hint="eastAsia" w:ascii="宋体" w:hAnsi="宋体"/>
          <w:szCs w:val="21"/>
        </w:rPr>
        <w:t>：行政办公楼1-12号楼、各门诊病区、科室、电梯井道、后勤各班组、食堂、库房、家属区、地下室、院内下水道、院内绿化区域。</w:t>
      </w:r>
    </w:p>
    <w:p>
      <w:pPr>
        <w:tabs>
          <w:tab w:val="left" w:pos="720"/>
        </w:tabs>
        <w:spacing w:line="500" w:lineRule="exact"/>
        <w:ind w:firstLine="422" w:firstLineChars="200"/>
        <w:rPr>
          <w:rFonts w:ascii="宋体" w:hAnsi="宋体"/>
          <w:szCs w:val="21"/>
        </w:rPr>
      </w:pPr>
      <w:r>
        <w:rPr>
          <w:rFonts w:hint="eastAsia" w:ascii="宋体" w:hAnsi="宋体"/>
          <w:b/>
          <w:szCs w:val="21"/>
        </w:rPr>
        <w:t>二、施工内容：灭</w:t>
      </w:r>
      <w:r>
        <w:rPr>
          <w:rFonts w:hint="eastAsia" w:ascii="宋体" w:hAnsi="宋体"/>
          <w:szCs w:val="21"/>
        </w:rPr>
        <w:t>鼠、灭蟑、灭蚊、灭蝇</w:t>
      </w:r>
    </w:p>
    <w:p>
      <w:pPr>
        <w:tabs>
          <w:tab w:val="left" w:pos="0"/>
        </w:tabs>
        <w:spacing w:line="500" w:lineRule="exact"/>
        <w:ind w:firstLine="422" w:firstLineChars="200"/>
        <w:rPr>
          <w:rFonts w:ascii="宋体" w:hAnsi="宋体"/>
          <w:b/>
          <w:szCs w:val="21"/>
        </w:rPr>
      </w:pPr>
      <w:r>
        <w:rPr>
          <w:rFonts w:hint="eastAsia" w:ascii="宋体" w:hAnsi="宋体"/>
          <w:b/>
          <w:szCs w:val="21"/>
        </w:rPr>
        <w:t>三、施工用药：</w:t>
      </w:r>
    </w:p>
    <w:p>
      <w:pPr>
        <w:tabs>
          <w:tab w:val="left" w:pos="0"/>
        </w:tabs>
        <w:spacing w:line="500" w:lineRule="exact"/>
        <w:ind w:firstLine="422" w:firstLineChars="200"/>
        <w:rPr>
          <w:rFonts w:ascii="宋体" w:hAnsi="宋体"/>
          <w:szCs w:val="21"/>
        </w:rPr>
      </w:pPr>
      <w:r>
        <w:rPr>
          <w:rFonts w:hint="eastAsia" w:ascii="宋体" w:hAnsi="宋体"/>
          <w:b/>
          <w:szCs w:val="21"/>
        </w:rPr>
        <w:t>1、</w:t>
      </w:r>
      <w:r>
        <w:rPr>
          <w:rFonts w:hint="eastAsia" w:ascii="宋体" w:hAnsi="宋体"/>
          <w:szCs w:val="21"/>
        </w:rPr>
        <w:t>灭鼠采用鼠夹、粘鼠板、电子猫、第二代抗凝血药物溴敌隆稻谷毒饵、腊丸；灭蟑、灭蚊、灭蝇采用高效菊脂类。</w:t>
      </w:r>
    </w:p>
    <w:p>
      <w:pPr>
        <w:spacing w:line="500" w:lineRule="exact"/>
        <w:ind w:firstLine="315" w:firstLineChars="15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lang w:bidi="ar-EG"/>
        </w:rPr>
        <w:t>防治</w:t>
      </w:r>
      <w:r>
        <w:rPr>
          <w:rFonts w:ascii="宋体" w:hAnsi="宋体"/>
          <w:color w:val="000000"/>
          <w:szCs w:val="21"/>
        </w:rPr>
        <w:t>药物要求：</w:t>
      </w:r>
      <w:r>
        <w:rPr>
          <w:rFonts w:hint="eastAsia" w:ascii="宋体" w:hAnsi="宋体"/>
          <w:color w:val="000000"/>
          <w:szCs w:val="21"/>
        </w:rPr>
        <w:t>所有药物</w:t>
      </w:r>
      <w:r>
        <w:rPr>
          <w:rFonts w:ascii="宋体" w:hAnsi="宋体"/>
          <w:color w:val="000000"/>
          <w:szCs w:val="21"/>
        </w:rPr>
        <w:t>产</w:t>
      </w:r>
      <w:r>
        <w:rPr>
          <w:rFonts w:hint="eastAsia" w:ascii="宋体" w:hAnsi="宋体"/>
          <w:color w:val="000000"/>
          <w:szCs w:val="21"/>
        </w:rPr>
        <w:t>品，必须</w:t>
      </w:r>
      <w:r>
        <w:rPr>
          <w:rFonts w:ascii="宋体" w:hAnsi="宋体"/>
          <w:color w:val="000000"/>
          <w:szCs w:val="21"/>
        </w:rPr>
        <w:t>具有国家行政主管部门批准的生产</w:t>
      </w:r>
      <w:r>
        <w:rPr>
          <w:rFonts w:hint="eastAsia" w:ascii="宋体" w:hAnsi="宋体" w:cs="仿宋_GB2312"/>
          <w:szCs w:val="21"/>
        </w:rPr>
        <w:t>许可证</w:t>
      </w:r>
      <w:r>
        <w:rPr>
          <w:rFonts w:ascii="宋体" w:hAnsi="宋体"/>
          <w:color w:val="000000"/>
          <w:szCs w:val="21"/>
        </w:rPr>
        <w:t>文号</w:t>
      </w:r>
      <w:r>
        <w:rPr>
          <w:rFonts w:hint="eastAsia" w:ascii="宋体" w:hAnsi="宋体"/>
          <w:color w:val="000000"/>
          <w:szCs w:val="21"/>
        </w:rPr>
        <w:t>，供货时</w:t>
      </w:r>
      <w:r>
        <w:rPr>
          <w:rFonts w:ascii="宋体" w:hAnsi="宋体"/>
          <w:color w:val="000000"/>
          <w:szCs w:val="21"/>
        </w:rPr>
        <w:t>提供药物检测报告、合格证书等所有证明资料</w:t>
      </w:r>
      <w:r>
        <w:rPr>
          <w:rFonts w:hint="eastAsia" w:ascii="宋体" w:hAnsi="宋体"/>
          <w:color w:val="000000"/>
          <w:szCs w:val="21"/>
        </w:rPr>
        <w:t>，</w:t>
      </w:r>
      <w:r>
        <w:rPr>
          <w:rFonts w:ascii="宋体" w:hAnsi="宋体"/>
          <w:color w:val="000000"/>
          <w:szCs w:val="21"/>
        </w:rPr>
        <w:t>所有药物具有合法透明的供货渠道，</w:t>
      </w:r>
      <w:r>
        <w:rPr>
          <w:rFonts w:hint="eastAsia" w:ascii="宋体" w:hAnsi="宋体" w:cs="仿宋_GB2312"/>
          <w:szCs w:val="21"/>
        </w:rPr>
        <w:t>严格按国家规定的卫生杀虫药物施工。</w:t>
      </w:r>
    </w:p>
    <w:p>
      <w:pPr>
        <w:tabs>
          <w:tab w:val="left" w:pos="0"/>
        </w:tabs>
        <w:spacing w:line="500" w:lineRule="exact"/>
        <w:ind w:firstLine="422" w:firstLineChars="200"/>
        <w:rPr>
          <w:rFonts w:ascii="宋体" w:hAnsi="宋体" w:cs="仿宋_GB2312"/>
          <w:szCs w:val="21"/>
        </w:rPr>
      </w:pPr>
      <w:r>
        <w:rPr>
          <w:rFonts w:hint="eastAsia" w:ascii="宋体" w:hAnsi="宋体"/>
          <w:b/>
          <w:szCs w:val="21"/>
        </w:rPr>
        <w:t>四、施工方案</w:t>
      </w:r>
    </w:p>
    <w:p>
      <w:pPr>
        <w:tabs>
          <w:tab w:val="left" w:pos="720"/>
        </w:tabs>
        <w:spacing w:line="500" w:lineRule="exact"/>
        <w:ind w:firstLine="211" w:firstLineChars="100"/>
        <w:rPr>
          <w:rFonts w:ascii="宋体" w:hAnsi="宋体" w:cs="宋体"/>
          <w:b/>
          <w:szCs w:val="21"/>
        </w:rPr>
      </w:pPr>
      <w:r>
        <w:rPr>
          <w:rFonts w:hint="eastAsia" w:ascii="宋体" w:hAnsi="宋体" w:cs="宋体"/>
          <w:b/>
          <w:szCs w:val="21"/>
        </w:rPr>
        <w:t>（一）注重科学合理用药，采用化学与物理相结合的方式</w:t>
      </w:r>
    </w:p>
    <w:p>
      <w:pPr>
        <w:spacing w:line="500" w:lineRule="exact"/>
        <w:ind w:firstLine="316" w:firstLineChars="150"/>
        <w:rPr>
          <w:rFonts w:ascii="宋体" w:hAnsi="宋体" w:cs="仿宋_GB2312"/>
          <w:b/>
          <w:szCs w:val="21"/>
        </w:rPr>
      </w:pPr>
      <w:r>
        <w:rPr>
          <w:rFonts w:hint="eastAsia" w:ascii="宋体" w:hAnsi="宋体" w:cs="仿宋_GB2312"/>
          <w:b/>
          <w:szCs w:val="21"/>
        </w:rPr>
        <w:t>1、灭鼠方案</w:t>
      </w:r>
    </w:p>
    <w:p>
      <w:pPr>
        <w:spacing w:line="500" w:lineRule="exact"/>
        <w:rPr>
          <w:rFonts w:ascii="宋体" w:hAnsi="宋体" w:cs="仿宋_GB2312"/>
          <w:szCs w:val="21"/>
        </w:rPr>
      </w:pPr>
      <w:r>
        <w:rPr>
          <w:rFonts w:hint="eastAsia" w:ascii="宋体" w:hAnsi="宋体" w:cs="仿宋_GB2312"/>
          <w:szCs w:val="21"/>
        </w:rPr>
        <w:t xml:space="preserve">   ①室内采用物理灭治法，用鼠夹、粘鼠板、捕鼠笼、电子灭鼠器灭鼠,做到有的放矢。</w:t>
      </w:r>
    </w:p>
    <w:p>
      <w:pPr>
        <w:spacing w:line="500" w:lineRule="exact"/>
        <w:rPr>
          <w:rFonts w:ascii="宋体" w:hAnsi="宋体" w:cs="仿宋_GB2312"/>
          <w:szCs w:val="21"/>
        </w:rPr>
      </w:pPr>
      <w:r>
        <w:rPr>
          <w:rFonts w:hint="eastAsia" w:ascii="宋体" w:hAnsi="宋体" w:cs="仿宋_GB2312"/>
          <w:szCs w:val="21"/>
        </w:rPr>
        <w:t xml:space="preserve">   ②建立室内外灭鼠毒饵站  对室内外全面布控，达到全面灭杀与防控效果，定时更换药物，防止霉变和被鸟类盗食。</w:t>
      </w:r>
    </w:p>
    <w:p>
      <w:pPr>
        <w:spacing w:line="500" w:lineRule="exact"/>
        <w:rPr>
          <w:rFonts w:ascii="宋体" w:hAnsi="宋体" w:cs="仿宋_GB2312"/>
          <w:szCs w:val="21"/>
        </w:rPr>
      </w:pPr>
      <w:r>
        <w:rPr>
          <w:rFonts w:hint="eastAsia" w:ascii="宋体" w:hAnsi="宋体" w:cs="仿宋_GB2312"/>
          <w:szCs w:val="21"/>
        </w:rPr>
        <w:t xml:space="preserve">   ③化学灭鼠  采用国家规定的药物投药，不间断对楼梯间、线管井、地沟和屋顶投药，严禁裸投。</w:t>
      </w:r>
    </w:p>
    <w:p>
      <w:pPr>
        <w:spacing w:line="500" w:lineRule="exact"/>
        <w:rPr>
          <w:rFonts w:ascii="宋体" w:hAnsi="宋体" w:cs="仿宋_GB2312"/>
          <w:szCs w:val="21"/>
        </w:rPr>
      </w:pPr>
      <w:r>
        <w:rPr>
          <w:rFonts w:hint="eastAsia" w:ascii="宋体" w:hAnsi="宋体" w:cs="仿宋_GB2312"/>
          <w:szCs w:val="21"/>
        </w:rPr>
        <w:t xml:space="preserve">   ④及时清理鼠尸  在用粘鼠板、鼠夹和药物灭治过程中，及时清理鼠尸，避免产生异味。全年每月服务二次，有问题随叫随到。</w:t>
      </w:r>
    </w:p>
    <w:p>
      <w:pPr>
        <w:spacing w:line="500" w:lineRule="exact"/>
        <w:ind w:firstLine="315" w:firstLineChars="150"/>
        <w:rPr>
          <w:rFonts w:ascii="宋体" w:hAnsi="宋体" w:cs="仿宋_GB2312"/>
          <w:szCs w:val="21"/>
        </w:rPr>
      </w:pPr>
      <w:r>
        <w:rPr>
          <w:rFonts w:hint="eastAsia" w:ascii="宋体" w:hAnsi="宋体" w:cs="仿宋_GB2312"/>
          <w:szCs w:val="21"/>
        </w:rPr>
        <w:t>⑤控鼠 灭鼠是一个长期控制灭治过程，在日常灭鼠过程中，防大于治，做好各种防护措施。</w:t>
      </w:r>
    </w:p>
    <w:p>
      <w:pPr>
        <w:spacing w:line="500" w:lineRule="exact"/>
        <w:ind w:firstLine="315" w:firstLineChars="150"/>
        <w:rPr>
          <w:rFonts w:ascii="宋体" w:hAnsi="宋体" w:cs="仿宋_GB2312"/>
          <w:szCs w:val="21"/>
        </w:rPr>
      </w:pPr>
      <w:r>
        <w:rPr>
          <w:rFonts w:hint="eastAsia" w:ascii="宋体" w:hAnsi="宋体" w:cs="仿宋_GB2312"/>
          <w:szCs w:val="21"/>
        </w:rPr>
        <w:t>⑥外围毒饵站投鼠药每月二次。</w:t>
      </w:r>
    </w:p>
    <w:p>
      <w:pPr>
        <w:spacing w:line="500" w:lineRule="exact"/>
        <w:rPr>
          <w:rFonts w:ascii="宋体" w:hAnsi="宋体" w:cs="仿宋_GB2312"/>
          <w:b/>
          <w:szCs w:val="21"/>
        </w:rPr>
      </w:pPr>
      <w:r>
        <w:rPr>
          <w:rFonts w:hint="eastAsia" w:ascii="宋体" w:hAnsi="宋体" w:cs="仿宋_GB2312"/>
          <w:szCs w:val="21"/>
        </w:rPr>
        <w:t xml:space="preserve">  </w:t>
      </w:r>
      <w:r>
        <w:rPr>
          <w:rFonts w:hint="eastAsia" w:ascii="宋体" w:hAnsi="宋体" w:cs="仿宋_GB2312"/>
          <w:b/>
          <w:szCs w:val="21"/>
        </w:rPr>
        <w:t xml:space="preserve"> 2、灭蟑方案</w:t>
      </w:r>
    </w:p>
    <w:p>
      <w:pPr>
        <w:spacing w:line="500" w:lineRule="exact"/>
        <w:rPr>
          <w:rFonts w:ascii="宋体" w:hAnsi="宋体" w:cs="仿宋_GB2312"/>
          <w:szCs w:val="21"/>
        </w:rPr>
      </w:pPr>
      <w:r>
        <w:rPr>
          <w:rFonts w:hint="eastAsia" w:ascii="宋体" w:hAnsi="宋体" w:cs="仿宋_GB2312"/>
          <w:szCs w:val="21"/>
        </w:rPr>
        <w:t xml:space="preserve">   ①室内蟑螂的控制  首先当地蟑螂种类和生活习性。如栖息场所、活动规律、季节消长、药物抗性等，特别是蟑螂的进入途径，药品入库周转。全年每月检查二次，有问题及时防治随叫随到。</w:t>
      </w:r>
    </w:p>
    <w:p>
      <w:pPr>
        <w:spacing w:line="500" w:lineRule="exact"/>
        <w:rPr>
          <w:rFonts w:ascii="宋体" w:hAnsi="宋体" w:cs="仿宋_GB2312"/>
          <w:szCs w:val="21"/>
        </w:rPr>
      </w:pPr>
      <w:r>
        <w:rPr>
          <w:rFonts w:hint="eastAsia" w:ascii="宋体" w:hAnsi="宋体" w:cs="仿宋_GB2312"/>
          <w:szCs w:val="21"/>
        </w:rPr>
        <w:t xml:space="preserve">   ②化学灭治，滞留喷洒，对蟑螂活动及栖息场所喷，对缝隙、杂物堆用药物灭杀及控制。</w:t>
      </w:r>
    </w:p>
    <w:p>
      <w:pPr>
        <w:spacing w:line="500" w:lineRule="exact"/>
        <w:ind w:firstLine="315" w:firstLineChars="150"/>
        <w:rPr>
          <w:rFonts w:ascii="宋体" w:hAnsi="宋体" w:cs="仿宋_GB2312"/>
          <w:szCs w:val="21"/>
        </w:rPr>
      </w:pPr>
      <w:r>
        <w:rPr>
          <w:rFonts w:hint="eastAsia" w:ascii="宋体" w:hAnsi="宋体" w:cs="仿宋_GB2312"/>
          <w:szCs w:val="21"/>
        </w:rPr>
        <w:t>③针对儿科、妇产科、呼吸道科、重症病房及特别科室，采用高效低毒环保无气味的颗粒饵剂及胶饵进行灭杀，避免药物过敏现象。</w:t>
      </w:r>
    </w:p>
    <w:p>
      <w:pPr>
        <w:spacing w:line="500" w:lineRule="exact"/>
        <w:ind w:firstLine="315" w:firstLineChars="150"/>
        <w:rPr>
          <w:rFonts w:ascii="宋体" w:hAnsi="宋体" w:cs="仿宋_GB2312"/>
          <w:szCs w:val="21"/>
        </w:rPr>
      </w:pPr>
      <w:r>
        <w:rPr>
          <w:rFonts w:hint="eastAsia" w:ascii="宋体" w:hAnsi="宋体" w:cs="仿宋_GB2312"/>
          <w:szCs w:val="21"/>
        </w:rPr>
        <w:t>④灭蟑每月布药2次。</w:t>
      </w:r>
    </w:p>
    <w:p>
      <w:pPr>
        <w:spacing w:line="500" w:lineRule="exact"/>
        <w:ind w:firstLine="316" w:firstLineChars="150"/>
        <w:rPr>
          <w:rFonts w:ascii="宋体" w:hAnsi="宋体" w:cs="仿宋_GB2312"/>
          <w:szCs w:val="21"/>
        </w:rPr>
      </w:pPr>
      <w:r>
        <w:rPr>
          <w:rFonts w:hint="eastAsia" w:ascii="宋体" w:hAnsi="宋体" w:cs="仿宋_GB2312"/>
          <w:b/>
          <w:szCs w:val="21"/>
        </w:rPr>
        <w:t>3、灭蚊、蝇方案</w:t>
      </w:r>
    </w:p>
    <w:p>
      <w:pPr>
        <w:widowControl/>
        <w:spacing w:line="360" w:lineRule="auto"/>
        <w:ind w:firstLine="420" w:firstLineChars="200"/>
        <w:jc w:val="left"/>
        <w:rPr>
          <w:rFonts w:ascii="宋体" w:hAnsi="宋体" w:cs="宋体"/>
          <w:szCs w:val="21"/>
        </w:rPr>
      </w:pPr>
      <w:r>
        <w:rPr>
          <w:rFonts w:hint="eastAsia" w:ascii="宋体" w:hAnsi="宋体" w:cs="仿宋_GB2312"/>
          <w:szCs w:val="21"/>
        </w:rPr>
        <w:t>每年4-10月份，对医院环境进行检查，发现蚊蝇</w:t>
      </w:r>
      <w:r>
        <w:rPr>
          <w:rFonts w:ascii="仿宋_GB2312" w:hAnsi="宋体" w:eastAsia="仿宋_GB2312" w:cs="仿宋_GB2312"/>
          <w:color w:val="000000"/>
          <w:kern w:val="0"/>
          <w:szCs w:val="21"/>
        </w:rPr>
        <w:t>孳</w:t>
      </w:r>
      <w:r>
        <w:rPr>
          <w:rFonts w:hint="eastAsia" w:ascii="宋体" w:hAnsi="宋体" w:cs="仿宋_GB2312"/>
          <w:szCs w:val="21"/>
        </w:rPr>
        <w:t>生地进处理，对医院</w:t>
      </w:r>
      <w:r>
        <w:rPr>
          <w:rFonts w:hint="eastAsia" w:ascii="宋体" w:hAnsi="宋体" w:cs="宋体"/>
          <w:color w:val="000000"/>
          <w:kern w:val="0"/>
          <w:szCs w:val="21"/>
        </w:rPr>
        <w:t>外环境的</w:t>
      </w:r>
      <w:r>
        <w:rPr>
          <w:rFonts w:hint="eastAsia" w:ascii="宋体" w:hAnsi="宋体" w:cs="仿宋_GB2312"/>
          <w:szCs w:val="21"/>
        </w:rPr>
        <w:t>绿化带、</w:t>
      </w:r>
      <w:r>
        <w:rPr>
          <w:rFonts w:hint="eastAsia" w:ascii="宋体" w:hAnsi="宋体" w:cs="宋体"/>
          <w:color w:val="000000"/>
          <w:kern w:val="0"/>
          <w:szCs w:val="21"/>
        </w:rPr>
        <w:t>排水沟井口积水、小型水体、容器积水、地下管线沟渠积水、</w:t>
      </w:r>
      <w:r>
        <w:rPr>
          <w:rFonts w:hint="eastAsia" w:ascii="宋体" w:hAnsi="宋体" w:cs="仿宋_GB2312"/>
          <w:szCs w:val="21"/>
        </w:rPr>
        <w:t>垃圾桶、垃圾箱</w:t>
      </w:r>
      <w:r>
        <w:rPr>
          <w:rFonts w:hint="eastAsia" w:ascii="宋体" w:hAnsi="宋体" w:cs="宋体"/>
          <w:color w:val="000000"/>
          <w:kern w:val="0"/>
          <w:szCs w:val="21"/>
        </w:rPr>
        <w:t>等蚊蝇孳生地进行灭蚊蝇药物</w:t>
      </w:r>
      <w:r>
        <w:rPr>
          <w:rFonts w:hint="eastAsia" w:ascii="宋体" w:hAnsi="宋体" w:cs="宋体"/>
          <w:szCs w:val="21"/>
        </w:rPr>
        <w:t>喷洒</w:t>
      </w:r>
      <w:r>
        <w:rPr>
          <w:rFonts w:hint="eastAsia" w:ascii="宋体" w:hAnsi="宋体" w:cs="宋体"/>
          <w:color w:val="000000"/>
          <w:kern w:val="0"/>
          <w:szCs w:val="21"/>
        </w:rPr>
        <w:t>工作</w:t>
      </w:r>
      <w:r>
        <w:rPr>
          <w:rFonts w:hint="eastAsia" w:ascii="宋体" w:hAnsi="宋体" w:cs="宋体"/>
          <w:szCs w:val="21"/>
        </w:rPr>
        <w:t>，每月施药二次。</w:t>
      </w:r>
    </w:p>
    <w:p>
      <w:pPr>
        <w:spacing w:line="500" w:lineRule="exact"/>
        <w:ind w:firstLine="316" w:firstLineChars="150"/>
        <w:rPr>
          <w:rFonts w:ascii="宋体" w:hAnsi="宋体" w:cs="仿宋_GB2312"/>
          <w:b/>
          <w:szCs w:val="21"/>
        </w:rPr>
      </w:pPr>
      <w:r>
        <w:rPr>
          <w:rFonts w:hint="eastAsia" w:ascii="宋体" w:hAnsi="宋体" w:cs="仿宋_GB2312"/>
          <w:b/>
          <w:szCs w:val="21"/>
        </w:rPr>
        <w:t>4、签证</w:t>
      </w:r>
    </w:p>
    <w:p>
      <w:pPr>
        <w:spacing w:line="500" w:lineRule="exact"/>
        <w:ind w:firstLine="315" w:firstLineChars="150"/>
        <w:rPr>
          <w:rFonts w:ascii="宋体" w:hAnsi="宋体" w:cs="仿宋_GB2312"/>
          <w:szCs w:val="21"/>
        </w:rPr>
      </w:pPr>
      <w:r>
        <w:rPr>
          <w:rFonts w:hint="eastAsia" w:ascii="宋体" w:hAnsi="宋体" w:cs="仿宋_GB2312"/>
          <w:szCs w:val="21"/>
        </w:rPr>
        <w:t>每月服务不低于二次，服务卡由科室签单。</w:t>
      </w:r>
    </w:p>
    <w:p>
      <w:pPr>
        <w:spacing w:line="500" w:lineRule="exact"/>
        <w:ind w:firstLine="316" w:firstLineChars="150"/>
        <w:rPr>
          <w:rFonts w:ascii="宋体" w:hAnsi="宋体" w:cs="仿宋_GB2312"/>
          <w:b/>
          <w:szCs w:val="21"/>
        </w:rPr>
      </w:pPr>
      <w:r>
        <w:rPr>
          <w:rFonts w:hint="eastAsia" w:ascii="宋体" w:hAnsi="宋体" w:cs="仿宋_GB2312"/>
          <w:b/>
          <w:szCs w:val="21"/>
        </w:rPr>
        <w:t>5、施工人员</w:t>
      </w:r>
    </w:p>
    <w:p>
      <w:pPr>
        <w:spacing w:line="500" w:lineRule="exact"/>
        <w:ind w:firstLine="315" w:firstLineChars="150"/>
        <w:rPr>
          <w:rFonts w:ascii="宋体" w:hAnsi="宋体" w:cs="仿宋_GB2312"/>
          <w:szCs w:val="21"/>
        </w:rPr>
      </w:pPr>
      <w:r>
        <w:rPr>
          <w:rFonts w:hint="eastAsia" w:ascii="宋体" w:hAnsi="宋体" w:cs="仿宋_GB2312"/>
          <w:szCs w:val="21"/>
        </w:rPr>
        <w:t>技术负责人   中心院区：1人；普爱院区：1人。</w:t>
      </w:r>
    </w:p>
    <w:p>
      <w:pPr>
        <w:spacing w:line="500" w:lineRule="exact"/>
        <w:ind w:firstLine="211" w:firstLineChars="100"/>
        <w:rPr>
          <w:rFonts w:ascii="宋体" w:hAnsi="宋体" w:cs="仿宋_GB2312"/>
          <w:b/>
          <w:szCs w:val="21"/>
        </w:rPr>
      </w:pPr>
      <w:r>
        <w:rPr>
          <w:rFonts w:hint="eastAsia" w:ascii="宋体" w:hAnsi="宋体" w:cs="仿宋_GB2312"/>
          <w:b/>
          <w:szCs w:val="21"/>
        </w:rPr>
        <w:t>（三）病媒生物防制达标实施要求</w:t>
      </w:r>
    </w:p>
    <w:p>
      <w:pPr>
        <w:tabs>
          <w:tab w:val="left" w:pos="540"/>
        </w:tabs>
        <w:spacing w:line="360" w:lineRule="auto"/>
        <w:ind w:firstLine="420" w:firstLineChars="200"/>
        <w:rPr>
          <w:rFonts w:ascii="宋体" w:hAnsi="宋体"/>
          <w:color w:val="000000"/>
          <w:szCs w:val="21"/>
        </w:rPr>
      </w:pPr>
      <w:r>
        <w:rPr>
          <w:rFonts w:hint="eastAsia" w:ascii="宋体" w:hAnsi="宋体" w:cs="仿宋_GB2312"/>
          <w:color w:val="000000"/>
          <w:szCs w:val="21"/>
        </w:rPr>
        <w:t>通过综合防制，每年二次达标检查，病媒生物各项指标达到国家标准，</w:t>
      </w:r>
      <w:r>
        <w:rPr>
          <w:rFonts w:hint="eastAsia" w:ascii="宋体" w:hAnsi="宋体"/>
          <w:color w:val="000000"/>
          <w:szCs w:val="21"/>
        </w:rPr>
        <w:t>每月对服务质量进行考核，并提出一项监测指标及考核办法，</w:t>
      </w:r>
      <w:r>
        <w:rPr>
          <w:rFonts w:hint="eastAsia" w:ascii="宋体" w:hAnsi="宋体" w:cs="仿宋_GB2312"/>
          <w:color w:val="000000"/>
          <w:szCs w:val="21"/>
        </w:rPr>
        <w:t>并由双方共同检查填写达标表</w:t>
      </w:r>
      <w:r>
        <w:rPr>
          <w:rFonts w:hint="eastAsia" w:ascii="宋体" w:hAnsi="宋体"/>
          <w:color w:val="000000"/>
          <w:szCs w:val="21"/>
        </w:rPr>
        <w:t>。</w:t>
      </w:r>
    </w:p>
    <w:p>
      <w:pPr>
        <w:tabs>
          <w:tab w:val="left" w:pos="540"/>
        </w:tabs>
        <w:spacing w:line="360" w:lineRule="auto"/>
        <w:ind w:firstLine="420" w:firstLineChars="200"/>
        <w:rPr>
          <w:rFonts w:ascii="宋体" w:hAnsi="宋体" w:cs="仿宋_GB2312"/>
          <w:color w:val="000000"/>
          <w:szCs w:val="21"/>
        </w:rPr>
      </w:pPr>
      <w:r>
        <w:rPr>
          <w:rFonts w:hint="eastAsia" w:ascii="宋体" w:hAnsi="宋体"/>
          <w:color w:val="000000"/>
          <w:szCs w:val="21"/>
        </w:rPr>
        <w:t>每季度出具灭鼠虫害密度（监测）检查表，并经采购人、成交供应商双方确认后签字盖章。</w:t>
      </w:r>
    </w:p>
    <w:p>
      <w:pPr>
        <w:keepLines/>
        <w:spacing w:line="500" w:lineRule="exact"/>
        <w:ind w:firstLine="315" w:firstLineChars="150"/>
        <w:rPr>
          <w:rFonts w:ascii="宋体" w:hAnsi="宋体" w:cs="宋体"/>
          <w:szCs w:val="21"/>
        </w:rPr>
      </w:pPr>
      <w:r>
        <w:rPr>
          <w:rFonts w:hint="eastAsia" w:ascii="宋体" w:hAnsi="宋体" w:cs="仿宋_GB2312"/>
          <w:szCs w:val="21"/>
        </w:rPr>
        <w:t>鼠GB/T27770-2011，15</w:t>
      </w:r>
      <w:r>
        <w:rPr>
          <w:rFonts w:hint="eastAsia" w:ascii="宋体" w:hAnsi="宋体" w:cs="宋体"/>
          <w:szCs w:val="21"/>
        </w:rPr>
        <w:t>㎡标准房间阳性率不超过3%，有鼠洞、鼠类、鼠咬痕、鼠迹的房间不超过2%，重点部位防鼠设施不合格处不超过5%。</w:t>
      </w:r>
    </w:p>
    <w:p>
      <w:pPr>
        <w:keepLines/>
        <w:spacing w:line="500" w:lineRule="exact"/>
        <w:ind w:firstLine="315" w:firstLineChars="150"/>
        <w:rPr>
          <w:rFonts w:ascii="宋体" w:hAnsi="宋体" w:cs="仿宋_GB2312"/>
          <w:szCs w:val="21"/>
        </w:rPr>
      </w:pPr>
      <w:r>
        <w:rPr>
          <w:rFonts w:hint="eastAsia" w:ascii="宋体" w:hAnsi="宋体" w:cs="仿宋_GB2312"/>
          <w:szCs w:val="21"/>
        </w:rPr>
        <w:t>蟑GB/T27773-2011，室内有蟑螂成虫或若虫阳性房间不超过3%，平均每间房大蠊不超过5只，小蠊不超过10只，有活卵鞘的房间不超过2%，平均每间房不超过4只，有蟑螂粪便、脱皮等蟑迹的房间不超过5%。蚊GB/T27771-2011，路径指数小于或等0.5，采样勺指数小于或等于3%，平均阳率少于5只蚊虫幼虫和蛹。</w:t>
      </w:r>
    </w:p>
    <w:p>
      <w:pPr>
        <w:keepLines/>
        <w:spacing w:line="500" w:lineRule="exact"/>
        <w:ind w:firstLine="315" w:firstLineChars="150"/>
        <w:rPr>
          <w:rFonts w:ascii="宋体" w:hAnsi="宋体" w:cs="仿宋_GB2312"/>
          <w:szCs w:val="21"/>
        </w:rPr>
      </w:pPr>
      <w:r>
        <w:rPr>
          <w:rFonts w:hint="eastAsia" w:ascii="宋体" w:hAnsi="宋体" w:cs="仿宋_GB2312"/>
          <w:szCs w:val="21"/>
        </w:rPr>
        <w:t>蝇GB/T27772-2011，有蝇房间阳率不超过3%，阳性间蝇密度小于或等于3只/间，蝇类孳生地阳性率小于5%.</w:t>
      </w:r>
    </w:p>
    <w:p>
      <w:pPr>
        <w:keepLines/>
        <w:spacing w:line="500" w:lineRule="exact"/>
        <w:ind w:firstLine="315" w:firstLineChars="150"/>
        <w:rPr>
          <w:rFonts w:ascii="宋体" w:hAnsi="宋体" w:cs="仿宋_GB2312"/>
          <w:szCs w:val="21"/>
        </w:rPr>
      </w:pPr>
      <w:r>
        <w:rPr>
          <w:rFonts w:hint="eastAsia" w:ascii="宋体" w:hAnsi="宋体" w:cs="仿宋_GB2312"/>
          <w:szCs w:val="21"/>
        </w:rPr>
        <w:t>五、其他：</w:t>
      </w:r>
    </w:p>
    <w:p>
      <w:pPr>
        <w:keepLines/>
        <w:spacing w:line="500" w:lineRule="exact"/>
        <w:ind w:firstLine="315" w:firstLineChars="150"/>
        <w:rPr>
          <w:rFonts w:ascii="宋体" w:hAnsi="宋体" w:cs="仿宋_GB2312"/>
          <w:szCs w:val="21"/>
        </w:rPr>
      </w:pPr>
      <w:r>
        <w:rPr>
          <w:rFonts w:hint="eastAsia" w:ascii="宋体" w:hAnsi="宋体" w:cs="仿宋_GB2312"/>
          <w:szCs w:val="21"/>
        </w:rPr>
        <w:t>1、服务人员相对固定，挂牌服务，</w:t>
      </w:r>
    </w:p>
    <w:p>
      <w:pPr>
        <w:keepLines/>
        <w:spacing w:line="500" w:lineRule="exact"/>
        <w:ind w:firstLine="315" w:firstLineChars="150"/>
        <w:rPr>
          <w:rFonts w:ascii="宋体" w:hAnsi="宋体" w:cs="仿宋_GB2312"/>
          <w:szCs w:val="21"/>
        </w:rPr>
      </w:pPr>
      <w:r>
        <w:rPr>
          <w:rFonts w:hint="eastAsia" w:ascii="宋体" w:hAnsi="宋体" w:cs="仿宋_GB2312"/>
          <w:szCs w:val="21"/>
        </w:rPr>
        <w:t>2、成交供应商应积极配合采购人完成市、区相关部门灭“四害”的相关布置工作。</w:t>
      </w:r>
    </w:p>
    <w:p>
      <w:pPr>
        <w:keepLines/>
        <w:spacing w:line="500" w:lineRule="exact"/>
        <w:ind w:firstLine="315" w:firstLineChars="150"/>
        <w:rPr>
          <w:rFonts w:ascii="宋体" w:hAnsi="宋体" w:cs="仿宋_GB2312"/>
          <w:szCs w:val="21"/>
        </w:rPr>
      </w:pPr>
      <w:r>
        <w:rPr>
          <w:rFonts w:hint="eastAsia" w:ascii="宋体" w:hAnsi="宋体" w:cs="仿宋_GB2312"/>
          <w:szCs w:val="21"/>
        </w:rPr>
        <w:t>3、如遇特殊情况随叫随到。</w:t>
      </w:r>
    </w:p>
    <w:p>
      <w:pPr>
        <w:keepLines/>
        <w:spacing w:line="500" w:lineRule="exact"/>
        <w:ind w:firstLine="315" w:firstLineChars="150"/>
        <w:rPr>
          <w:rFonts w:ascii="宋体" w:hAnsi="宋体" w:cs="仿宋_GB2312"/>
          <w:szCs w:val="21"/>
        </w:rPr>
      </w:pPr>
      <w:r>
        <w:rPr>
          <w:rFonts w:hint="eastAsia" w:ascii="宋体" w:hAnsi="宋体" w:cs="仿宋_GB2312"/>
          <w:szCs w:val="21"/>
        </w:rPr>
        <w:t>4、成交供应商在服务期间，如果服务质量考核三次不达标，将自动放弃服务。</w:t>
      </w:r>
    </w:p>
    <w:p>
      <w:pPr>
        <w:keepLines/>
        <w:spacing w:line="500" w:lineRule="exact"/>
        <w:ind w:firstLine="315" w:firstLineChars="150"/>
        <w:rPr>
          <w:rFonts w:ascii="宋体" w:hAnsi="宋体" w:cs="仿宋_GB2312"/>
          <w:szCs w:val="21"/>
        </w:rPr>
      </w:pPr>
      <w:r>
        <w:rPr>
          <w:rFonts w:hint="eastAsia" w:ascii="宋体" w:hAnsi="宋体" w:cs="仿宋_GB2312"/>
          <w:szCs w:val="21"/>
        </w:rPr>
        <w:t>5、验收要求按国家省市及行业标准执。</w:t>
      </w:r>
    </w:p>
    <w:p>
      <w:pPr>
        <w:keepLines/>
        <w:spacing w:line="500" w:lineRule="exact"/>
        <w:ind w:firstLine="315" w:firstLineChars="150"/>
        <w:rPr>
          <w:rFonts w:ascii="宋体" w:hAnsi="宋体" w:cs="仿宋_GB2312"/>
          <w:szCs w:val="21"/>
        </w:rPr>
      </w:pPr>
    </w:p>
    <w:bookmarkEnd w:id="81"/>
    <w:bookmarkEnd w:id="82"/>
    <w:p/>
    <w:p/>
    <w:p>
      <w:pPr>
        <w:pStyle w:val="4"/>
        <w:spacing w:line="240" w:lineRule="auto"/>
        <w:ind w:left="840" w:firstLine="883" w:firstLineChars="200"/>
        <w:rPr>
          <w:rFonts w:cs="宋体"/>
          <w:sz w:val="44"/>
          <w:szCs w:val="44"/>
        </w:rPr>
      </w:pPr>
      <w:r>
        <w:rPr>
          <w:rFonts w:hint="eastAsia" w:cs="宋体"/>
          <w:sz w:val="44"/>
          <w:szCs w:val="44"/>
        </w:rPr>
        <w:t>第五章 谈判响应文件格式</w:t>
      </w:r>
      <w:bookmarkEnd w:id="73"/>
      <w:bookmarkEnd w:id="74"/>
      <w:bookmarkEnd w:id="75"/>
      <w:bookmarkEnd w:id="76"/>
      <w:bookmarkEnd w:id="77"/>
      <w:bookmarkEnd w:id="78"/>
      <w:bookmarkEnd w:id="79"/>
      <w:bookmarkEnd w:id="80"/>
      <w:bookmarkStart w:id="83" w:name="_Hlk46603820"/>
    </w:p>
    <w:p/>
    <w:p>
      <w:pPr>
        <w:pStyle w:val="21"/>
      </w:pPr>
    </w:p>
    <w:p>
      <w:pPr>
        <w:pStyle w:val="21"/>
      </w:pPr>
    </w:p>
    <w:p>
      <w:pPr>
        <w:pStyle w:val="21"/>
      </w:pPr>
    </w:p>
    <w:bookmarkEnd w:id="83"/>
    <w:p>
      <w:pPr>
        <w:jc w:val="center"/>
        <w:rPr>
          <w:rFonts w:ascii="宋体" w:hAnsi="宋体" w:cs="宋体"/>
          <w:b/>
          <w:color w:val="000000"/>
          <w:sz w:val="72"/>
        </w:rPr>
      </w:pPr>
      <w:r>
        <w:rPr>
          <w:rFonts w:hint="eastAsia" w:ascii="宋体" w:hAnsi="宋体" w:cs="宋体"/>
          <w:b/>
          <w:color w:val="000000"/>
          <w:sz w:val="72"/>
        </w:rPr>
        <w:t>竞争性谈判响应文件</w:t>
      </w:r>
    </w:p>
    <w:p>
      <w:pPr>
        <w:autoSpaceDE w:val="0"/>
        <w:autoSpaceDN w:val="0"/>
        <w:adjustRightInd w:val="0"/>
        <w:jc w:val="left"/>
        <w:rPr>
          <w:rFonts w:ascii="宋体" w:hAnsi="宋体" w:cs="宋体"/>
          <w:color w:val="000000"/>
          <w:kern w:val="0"/>
          <w:sz w:val="380"/>
          <w:szCs w:val="380"/>
        </w:rPr>
      </w:pPr>
      <w:bookmarkStart w:id="84" w:name="_Hlk46603827"/>
      <w:bookmarkStart w:id="85" w:name="_Hlk36595941"/>
    </w:p>
    <w:bookmarkEnd w:id="84"/>
    <w:p>
      <w:pPr>
        <w:ind w:firstLine="1699" w:firstLineChars="472"/>
        <w:rPr>
          <w:rFonts w:ascii="宋体" w:hAnsi="宋体" w:cs="宋体"/>
          <w:color w:val="000000"/>
          <w:sz w:val="36"/>
          <w:u w:val="single"/>
        </w:rPr>
      </w:pPr>
      <w:r>
        <w:rPr>
          <w:rFonts w:hint="eastAsia" w:ascii="宋体" w:hAnsi="宋体" w:cs="宋体"/>
          <w:color w:val="000000"/>
          <w:sz w:val="36"/>
        </w:rPr>
        <w:t>项 目 编 号：</w:t>
      </w:r>
      <w:r>
        <w:rPr>
          <w:rFonts w:hint="eastAsia" w:ascii="宋体" w:hAnsi="宋体" w:cs="宋体"/>
          <w:color w:val="000000"/>
          <w:sz w:val="36"/>
          <w:u w:val="single"/>
        </w:rPr>
        <w:t xml:space="preserve">               </w:t>
      </w:r>
    </w:p>
    <w:p>
      <w:pPr>
        <w:ind w:firstLine="1699" w:firstLineChars="472"/>
        <w:rPr>
          <w:rFonts w:ascii="宋体" w:hAnsi="宋体" w:cs="宋体"/>
          <w:color w:val="000000"/>
          <w:sz w:val="36"/>
        </w:rPr>
      </w:pPr>
      <w:r>
        <w:rPr>
          <w:rFonts w:hint="eastAsia" w:ascii="宋体" w:hAnsi="宋体" w:cs="宋体"/>
          <w:color w:val="000000"/>
          <w:sz w:val="36"/>
        </w:rPr>
        <w:t>项 目 名 称：</w:t>
      </w:r>
      <w:r>
        <w:rPr>
          <w:rFonts w:hint="eastAsia" w:ascii="宋体" w:hAnsi="宋体" w:cs="宋体"/>
          <w:color w:val="000000"/>
          <w:sz w:val="36"/>
          <w:u w:val="single"/>
        </w:rPr>
        <w:t xml:space="preserve">               </w:t>
      </w:r>
    </w:p>
    <w:p>
      <w:pPr>
        <w:ind w:firstLine="1699" w:firstLineChars="472"/>
        <w:rPr>
          <w:rFonts w:ascii="宋体" w:hAnsi="宋体" w:cs="宋体"/>
          <w:color w:val="000000"/>
          <w:sz w:val="36"/>
          <w:u w:val="single"/>
        </w:rPr>
      </w:pPr>
      <w:r>
        <w:rPr>
          <w:rFonts w:hint="eastAsia" w:ascii="宋体" w:hAnsi="宋体" w:cs="宋体"/>
          <w:color w:val="000000"/>
          <w:sz w:val="36"/>
        </w:rPr>
        <w:t>供应商名称 ：</w:t>
      </w:r>
      <w:r>
        <w:rPr>
          <w:rFonts w:hint="eastAsia" w:ascii="宋体" w:hAnsi="宋体" w:cs="宋体"/>
          <w:color w:val="000000"/>
          <w:sz w:val="36"/>
          <w:u w:val="single"/>
        </w:rPr>
        <w:t xml:space="preserve">               </w:t>
      </w:r>
      <w:r>
        <w:rPr>
          <w:rFonts w:hint="eastAsia" w:ascii="宋体" w:hAnsi="宋体" w:cs="宋体"/>
          <w:color w:val="000000"/>
          <w:sz w:val="36"/>
        </w:rPr>
        <w:t>（盖章）</w:t>
      </w:r>
    </w:p>
    <w:p>
      <w:pPr>
        <w:ind w:firstLine="1699" w:firstLineChars="472"/>
        <w:rPr>
          <w:rFonts w:ascii="宋体" w:hAnsi="宋体" w:cs="宋体"/>
          <w:color w:val="000000"/>
          <w:sz w:val="36"/>
          <w:u w:val="single"/>
        </w:rPr>
      </w:pPr>
      <w:r>
        <w:rPr>
          <w:rFonts w:hint="eastAsia" w:ascii="宋体" w:hAnsi="宋体" w:cs="宋体"/>
          <w:color w:val="000000"/>
          <w:sz w:val="36"/>
        </w:rPr>
        <w:t>日      期 ：</w:t>
      </w:r>
      <w:r>
        <w:rPr>
          <w:rFonts w:hint="eastAsia" w:ascii="宋体" w:hAnsi="宋体" w:cs="宋体"/>
          <w:color w:val="000000"/>
          <w:sz w:val="36"/>
          <w:u w:val="single"/>
        </w:rPr>
        <w:t xml:space="preserve">               </w:t>
      </w:r>
      <w:bookmarkEnd w:id="85"/>
      <w:bookmarkStart w:id="86" w:name="_Toc448862871"/>
      <w:bookmarkStart w:id="87" w:name="_Toc449191483"/>
    </w:p>
    <w:p>
      <w:pPr>
        <w:pStyle w:val="4"/>
        <w:spacing w:line="415" w:lineRule="auto"/>
        <w:jc w:val="center"/>
        <w:rPr>
          <w:rFonts w:cs="宋体"/>
          <w:sz w:val="30"/>
          <w:szCs w:val="30"/>
        </w:rPr>
      </w:pPr>
      <w:r>
        <w:rPr>
          <w:rFonts w:hint="eastAsia" w:cs="宋体"/>
          <w:color w:val="000000"/>
          <w:u w:val="single"/>
        </w:rPr>
        <w:br w:type="page"/>
      </w:r>
      <w:bookmarkEnd w:id="86"/>
      <w:bookmarkEnd w:id="87"/>
      <w:bookmarkStart w:id="88" w:name="_Toc3209"/>
      <w:r>
        <w:rPr>
          <w:rFonts w:hint="eastAsia" w:cs="宋体"/>
          <w:sz w:val="30"/>
          <w:szCs w:val="30"/>
        </w:rPr>
        <w:t>一  竞争性谈判响应函</w:t>
      </w:r>
      <w:bookmarkEnd w:id="88"/>
    </w:p>
    <w:p>
      <w:pPr>
        <w:widowControl/>
        <w:spacing w:before="120" w:beforeLines="50" w:line="360" w:lineRule="auto"/>
        <w:rPr>
          <w:rFonts w:ascii="宋体" w:hAnsi="宋体" w:cs="宋体"/>
          <w:sz w:val="24"/>
        </w:rPr>
      </w:pPr>
      <w:bookmarkStart w:id="89" w:name="_Hlk44785273"/>
      <w:r>
        <w:rPr>
          <w:rFonts w:hint="eastAsia" w:ascii="宋体" w:hAnsi="宋体" w:cs="宋体"/>
          <w:sz w:val="24"/>
        </w:rPr>
        <w:t>（采购人名称）：</w:t>
      </w:r>
    </w:p>
    <w:bookmarkEnd w:id="89"/>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根据贵方（采购项目名称/采购项目编号）项目采购的谈判邀请，</w:t>
      </w:r>
      <w:bookmarkStart w:id="90" w:name="_Hlk44785325"/>
      <w:r>
        <w:rPr>
          <w:rFonts w:hint="eastAsia" w:hAnsi="宋体" w:eastAsia="宋体" w:cs="宋体"/>
          <w:sz w:val="24"/>
          <w:szCs w:val="24"/>
        </w:rPr>
        <w:t>我方代表（姓名、职务）被正式授权代表谈判供应商（谈判供应商名称、地址），向贵方提交下述竞争性谈判响应文件四份。其中：正本一份、副本三份，电子版U盘一份。</w:t>
      </w:r>
      <w:bookmarkEnd w:id="90"/>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1.报价一览表。</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2.分项报价明细表。</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3.货物、服务清单。</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4.按竞争性谈判文件谈判须知和技术规格要求提供的有关文件。</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5.资格证明文件。</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在此，我方宣布同意如下：</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（1）我方将按竞争性谈判文件的约定履行合同责任和义务。</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（2）我方已审阅全部竞争性谈判文件，包括谈判文件的澄清和更正公告（如有）及相关附件，我方已完全理解谈判文件并对谈判文件不存在任何异议。</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（3）所提交的谈判响应文件在谈判文件规定的谈判有效期内有效，在此期间内如果中标，我方将受此约束。</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（4）</w:t>
      </w:r>
      <w:bookmarkStart w:id="91" w:name="_Hlk44785479"/>
      <w:r>
        <w:rPr>
          <w:rFonts w:hint="eastAsia" w:hAnsi="宋体" w:eastAsia="宋体" w:cs="宋体"/>
          <w:sz w:val="24"/>
          <w:szCs w:val="24"/>
        </w:rPr>
        <w:t>我方承诺所提交的谈判响应文件及相关资料真实有效。</w:t>
      </w:r>
      <w:bookmarkEnd w:id="91"/>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（5）与本谈判有关的一切正式往来信函请寄：</w:t>
      </w:r>
      <w:r>
        <w:rPr>
          <w:rFonts w:hint="eastAsia" w:hAnsi="宋体" w:eastAsia="宋体" w:cs="宋体"/>
          <w:sz w:val="24"/>
          <w:szCs w:val="24"/>
          <w:u w:val="single"/>
        </w:rPr>
        <w:t xml:space="preserve">              </w:t>
      </w:r>
      <w:r>
        <w:rPr>
          <w:rFonts w:hint="eastAsia" w:hAnsi="宋体" w:eastAsia="宋体" w:cs="宋体"/>
          <w:sz w:val="24"/>
          <w:szCs w:val="24"/>
        </w:rPr>
        <w:t>。</w:t>
      </w:r>
    </w:p>
    <w:p>
      <w:pPr>
        <w:pStyle w:val="38"/>
        <w:spacing w:line="360" w:lineRule="auto"/>
        <w:ind w:firstLine="480" w:firstLineChars="200"/>
        <w:rPr>
          <w:rFonts w:hAnsi="宋体" w:eastAsia="宋体" w:cs="宋体"/>
          <w:sz w:val="24"/>
          <w:szCs w:val="24"/>
        </w:rPr>
      </w:pPr>
      <w:r>
        <w:rPr>
          <w:rFonts w:hint="eastAsia" w:hAnsi="宋体" w:eastAsia="宋体" w:cs="宋体"/>
          <w:sz w:val="24"/>
          <w:szCs w:val="24"/>
        </w:rPr>
        <w:t>（6）其他：</w:t>
      </w:r>
      <w:r>
        <w:rPr>
          <w:rFonts w:hint="eastAsia" w:hAnsi="宋体" w:eastAsia="宋体" w:cs="宋体"/>
          <w:sz w:val="24"/>
          <w:szCs w:val="24"/>
          <w:u w:val="single"/>
        </w:rPr>
        <w:t xml:space="preserve">                 </w:t>
      </w:r>
      <w:r>
        <w:rPr>
          <w:rFonts w:hint="eastAsia" w:hAnsi="宋体" w:eastAsia="宋体" w:cs="宋体"/>
          <w:sz w:val="24"/>
          <w:szCs w:val="24"/>
        </w:rPr>
        <w:t>。</w:t>
      </w:r>
    </w:p>
    <w:p>
      <w:pPr>
        <w:spacing w:line="360" w:lineRule="auto"/>
        <w:ind w:firstLine="3578" w:firstLineChars="1491"/>
        <w:jc w:val="left"/>
        <w:rPr>
          <w:rFonts w:ascii="宋体" w:hAnsi="宋体" w:cs="宋体"/>
          <w:color w:val="000000"/>
          <w:sz w:val="24"/>
          <w:u w:val="single"/>
        </w:rPr>
      </w:pPr>
      <w:bookmarkStart w:id="92" w:name="_Hlk46705345"/>
    </w:p>
    <w:p>
      <w:pPr>
        <w:spacing w:line="360" w:lineRule="auto"/>
        <w:ind w:firstLine="3578" w:firstLineChars="1491"/>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578" w:firstLineChars="1491"/>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bookmarkEnd w:id="92"/>
      <w:r>
        <w:rPr>
          <w:rFonts w:hint="eastAsia" w:ascii="宋体" w:hAnsi="宋体" w:cs="宋体"/>
          <w:sz w:val="24"/>
          <w:u w:val="single"/>
        </w:rPr>
        <w:t xml:space="preserve"> </w:t>
      </w:r>
    </w:p>
    <w:p>
      <w:pPr>
        <w:pStyle w:val="2"/>
        <w:spacing w:line="500" w:lineRule="exact"/>
        <w:rPr>
          <w:b w:val="0"/>
          <w:sz w:val="36"/>
        </w:rPr>
      </w:pPr>
    </w:p>
    <w:p>
      <w:pPr>
        <w:rPr>
          <w:b/>
          <w:sz w:val="36"/>
        </w:rPr>
      </w:pPr>
    </w:p>
    <w:p>
      <w:pPr>
        <w:pStyle w:val="21"/>
        <w:rPr>
          <w:b/>
          <w:sz w:val="36"/>
        </w:rPr>
      </w:pPr>
    </w:p>
    <w:p>
      <w:pPr>
        <w:pStyle w:val="21"/>
        <w:rPr>
          <w:b/>
          <w:sz w:val="36"/>
        </w:rPr>
      </w:pPr>
    </w:p>
    <w:p>
      <w:pPr>
        <w:pStyle w:val="21"/>
      </w:pPr>
    </w:p>
    <w:p>
      <w:pPr>
        <w:spacing w:line="480" w:lineRule="exact"/>
        <w:jc w:val="center"/>
        <w:rPr>
          <w:sz w:val="30"/>
          <w:szCs w:val="30"/>
        </w:rPr>
      </w:pPr>
      <w:r>
        <w:rPr>
          <w:rFonts w:hint="eastAsia"/>
          <w:b/>
          <w:sz w:val="30"/>
          <w:szCs w:val="30"/>
        </w:rPr>
        <w:t>二、法定代表人身份证明</w:t>
      </w:r>
    </w:p>
    <w:p>
      <w:pPr>
        <w:spacing w:line="500" w:lineRule="exact"/>
        <w:rPr>
          <w:rFonts w:ascii="黑体" w:hAnsi="宋体" w:eastAsia="黑体"/>
          <w:sz w:val="30"/>
          <w:szCs w:val="30"/>
        </w:rPr>
      </w:pPr>
    </w:p>
    <w:p>
      <w:pPr>
        <w:spacing w:line="500" w:lineRule="exact"/>
        <w:rPr>
          <w:rFonts w:ascii="黑体" w:hAnsi="宋体" w:eastAsia="黑体"/>
          <w:sz w:val="24"/>
          <w:szCs w:val="24"/>
        </w:rPr>
      </w:pPr>
      <w:r>
        <w:rPr>
          <w:rFonts w:hint="eastAsia" w:ascii="黑体" w:hAnsi="宋体" w:eastAsia="黑体"/>
          <w:sz w:val="24"/>
        </w:rPr>
        <w:t>投 标 人：</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单位性质：</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地    址：</w:t>
      </w:r>
      <w:r>
        <w:rPr>
          <w:rFonts w:hint="eastAsia" w:ascii="宋体" w:hAnsi="宋体"/>
          <w:sz w:val="24"/>
          <w:u w:val="single"/>
        </w:rPr>
        <w:t xml:space="preserve">                                                        </w:t>
      </w:r>
    </w:p>
    <w:p>
      <w:pPr>
        <w:spacing w:line="500" w:lineRule="exact"/>
        <w:rPr>
          <w:rFonts w:ascii="宋体" w:hAnsi="宋体"/>
          <w:sz w:val="24"/>
        </w:rPr>
      </w:pPr>
      <w:r>
        <w:rPr>
          <w:rFonts w:hint="eastAsia" w:ascii="黑体" w:hAnsi="宋体" w:eastAsia="黑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rPr>
          <w:rFonts w:ascii="黑体" w:hAnsi="宋体" w:eastAsia="黑体"/>
          <w:sz w:val="24"/>
        </w:rPr>
      </w:pPr>
      <w:r>
        <w:rPr>
          <w:rFonts w:hint="eastAsia" w:ascii="黑体" w:hAnsi="宋体" w:eastAsia="黑体"/>
          <w:sz w:val="24"/>
        </w:rPr>
        <w:t>经营期限：</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姓    名：</w:t>
      </w:r>
      <w:r>
        <w:rPr>
          <w:rFonts w:hint="eastAsia" w:ascii="宋体" w:hAnsi="宋体"/>
          <w:sz w:val="24"/>
          <w:u w:val="single"/>
        </w:rPr>
        <w:t xml:space="preserve">                          </w:t>
      </w:r>
      <w:r>
        <w:rPr>
          <w:rFonts w:hint="eastAsia" w:ascii="黑体" w:hAnsi="宋体" w:eastAsia="黑体"/>
          <w:sz w:val="24"/>
        </w:rPr>
        <w:t>性        别：</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年    龄：</w:t>
      </w:r>
      <w:r>
        <w:rPr>
          <w:rFonts w:hint="eastAsia" w:ascii="宋体" w:hAnsi="宋体"/>
          <w:sz w:val="24"/>
          <w:u w:val="single"/>
        </w:rPr>
        <w:t xml:space="preserve">                          </w:t>
      </w:r>
      <w:r>
        <w:rPr>
          <w:rFonts w:hint="eastAsia" w:ascii="黑体" w:hAnsi="宋体" w:eastAsia="黑体"/>
          <w:sz w:val="24"/>
        </w:rPr>
        <w:t>职        务：</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wordWrap w:val="0"/>
        <w:spacing w:line="500" w:lineRule="exact"/>
        <w:jc w:val="right"/>
        <w:rPr>
          <w:rFonts w:ascii="宋体" w:hAnsi="宋体"/>
          <w:sz w:val="24"/>
        </w:rPr>
      </w:pPr>
      <w:r>
        <w:rPr>
          <w:rFonts w:hint="eastAsia" w:ascii="黑体" w:hAnsi="宋体" w:eastAsia="黑体"/>
          <w:sz w:val="24"/>
        </w:rPr>
        <w:t>投标人：</w:t>
      </w:r>
      <w:r>
        <w:rPr>
          <w:rFonts w:hint="eastAsia" w:ascii="宋体" w:hAnsi="宋体"/>
          <w:sz w:val="24"/>
          <w:u w:val="single"/>
        </w:rPr>
        <w:t xml:space="preserve">                          </w:t>
      </w:r>
      <w:r>
        <w:rPr>
          <w:rFonts w:hint="eastAsia" w:ascii="宋体" w:hAnsi="宋体"/>
          <w:sz w:val="24"/>
        </w:rPr>
        <w:t>（盖单位章）</w:t>
      </w:r>
    </w:p>
    <w:p>
      <w:pPr>
        <w:jc w:val="center"/>
        <w:rPr>
          <w:rFonts w:ascii="宋体" w:hAnsi="宋体"/>
          <w:sz w:val="24"/>
          <w:u w:val="single"/>
        </w:rPr>
      </w:pPr>
    </w:p>
    <w:p>
      <w:pPr>
        <w:jc w:val="right"/>
        <w:rPr>
          <w:b/>
          <w:sz w:val="36"/>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jc w:val="center"/>
        <w:rPr>
          <w:b/>
          <w:sz w:val="36"/>
        </w:rPr>
      </w:pPr>
    </w:p>
    <w:p>
      <w:pPr>
        <w:jc w:val="center"/>
        <w:rPr>
          <w:b/>
          <w:sz w:val="36"/>
        </w:rPr>
      </w:pP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236" w:type="dxa"/>
          </w:tcPr>
          <w:p>
            <w:pPr>
              <w:jc w:val="center"/>
              <w:rPr>
                <w:b/>
                <w:sz w:val="36"/>
              </w:rPr>
            </w:pPr>
          </w:p>
          <w:p>
            <w:pPr>
              <w:jc w:val="center"/>
              <w:rPr>
                <w:b/>
                <w:sz w:val="36"/>
              </w:rPr>
            </w:pPr>
          </w:p>
          <w:p>
            <w:pPr>
              <w:jc w:val="center"/>
              <w:rPr>
                <w:sz w:val="28"/>
              </w:rPr>
            </w:pPr>
            <w:r>
              <w:rPr>
                <w:rFonts w:hint="eastAsia"/>
                <w:sz w:val="28"/>
              </w:rPr>
              <w:t>法定代表人身份证复印件正面</w:t>
            </w:r>
          </w:p>
          <w:p>
            <w:pPr>
              <w:rPr>
                <w:b/>
                <w:sz w:val="36"/>
              </w:rPr>
            </w:pPr>
          </w:p>
        </w:tc>
        <w:tc>
          <w:tcPr>
            <w:tcW w:w="4411" w:type="dxa"/>
          </w:tcPr>
          <w:p>
            <w:pPr>
              <w:jc w:val="center"/>
              <w:rPr>
                <w:b/>
                <w:sz w:val="36"/>
              </w:rPr>
            </w:pPr>
          </w:p>
          <w:p>
            <w:pPr>
              <w:jc w:val="center"/>
              <w:rPr>
                <w:b/>
                <w:sz w:val="36"/>
              </w:rPr>
            </w:pPr>
          </w:p>
          <w:p>
            <w:pPr>
              <w:jc w:val="center"/>
              <w:rPr>
                <w:b/>
                <w:sz w:val="36"/>
              </w:rPr>
            </w:pPr>
            <w:r>
              <w:rPr>
                <w:rFonts w:hint="eastAsia"/>
                <w:sz w:val="28"/>
              </w:rPr>
              <w:t>法定代表人身份证复印件反面</w:t>
            </w:r>
          </w:p>
          <w:p>
            <w:pPr>
              <w:jc w:val="center"/>
              <w:rPr>
                <w:b/>
                <w:sz w:val="36"/>
              </w:rPr>
            </w:pPr>
          </w:p>
          <w:p>
            <w:pPr>
              <w:jc w:val="center"/>
              <w:rPr>
                <w:b/>
                <w:sz w:val="36"/>
              </w:rPr>
            </w:pPr>
          </w:p>
        </w:tc>
      </w:tr>
    </w:tbl>
    <w:p>
      <w:pPr>
        <w:spacing w:before="240" w:beforeLines="100" w:after="120" w:afterLines="50"/>
        <w:jc w:val="center"/>
        <w:rPr>
          <w:b/>
          <w:sz w:val="36"/>
        </w:rPr>
      </w:pPr>
    </w:p>
    <w:p>
      <w:pPr>
        <w:spacing w:before="240" w:beforeLines="100" w:after="120" w:afterLines="50"/>
        <w:jc w:val="center"/>
        <w:rPr>
          <w:b/>
          <w:sz w:val="36"/>
        </w:rPr>
      </w:pPr>
    </w:p>
    <w:p>
      <w:pPr>
        <w:spacing w:before="240" w:beforeLines="100" w:after="120" w:afterLines="50"/>
        <w:jc w:val="center"/>
        <w:rPr>
          <w:b/>
          <w:sz w:val="36"/>
        </w:rPr>
      </w:pPr>
    </w:p>
    <w:p>
      <w:pPr>
        <w:spacing w:before="240" w:beforeLines="100" w:after="120" w:afterLines="50"/>
        <w:jc w:val="center"/>
        <w:rPr>
          <w:b/>
          <w:sz w:val="36"/>
        </w:rPr>
      </w:pPr>
    </w:p>
    <w:p>
      <w:pPr>
        <w:spacing w:before="240" w:beforeLines="100" w:after="120" w:afterLines="50"/>
        <w:jc w:val="center"/>
        <w:rPr>
          <w:b/>
          <w:sz w:val="30"/>
          <w:szCs w:val="30"/>
        </w:rPr>
      </w:pPr>
      <w:r>
        <w:rPr>
          <w:rFonts w:hint="eastAsia"/>
          <w:b/>
          <w:sz w:val="30"/>
          <w:szCs w:val="30"/>
        </w:rPr>
        <w:t>三、授权委托书</w:t>
      </w:r>
    </w:p>
    <w:p>
      <w:pPr>
        <w:spacing w:line="500" w:lineRule="exact"/>
        <w:ind w:firstLine="480" w:firstLineChars="200"/>
        <w:rPr>
          <w:rFonts w:ascii="宋体" w:hAnsi="宋体"/>
          <w:sz w:val="24"/>
          <w:szCs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（法定代表人姓名）系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（委托代理人姓名）为我方代理人，以本公司的名义参</w:t>
      </w:r>
      <w:r>
        <w:rPr>
          <w:rFonts w:hint="eastAsia" w:ascii="宋体" w:hAnsi="宋体"/>
          <w:sz w:val="24"/>
          <w:szCs w:val="24"/>
        </w:rPr>
        <w:t>加</w:t>
      </w:r>
    </w:p>
    <w:p>
      <w:pPr>
        <w:spacing w:line="500" w:lineRule="exact"/>
        <w:rPr>
          <w:rFonts w:ascii="宋体" w:hAnsi="宋体"/>
          <w:sz w:val="24"/>
        </w:rPr>
      </w:pPr>
      <w:r>
        <w:rPr>
          <w:rFonts w:hint="eastAsia" w:ascii="宋体" w:hAnsi="宋体"/>
          <w:sz w:val="24"/>
          <w:szCs w:val="24"/>
          <w:u w:val="single"/>
        </w:rPr>
        <w:t xml:space="preserve">                 </w:t>
      </w:r>
      <w:r>
        <w:rPr>
          <w:rFonts w:hint="eastAsia" w:ascii="宋体" w:hAnsi="宋体"/>
          <w:b/>
          <w:sz w:val="24"/>
          <w:szCs w:val="24"/>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的投标。授权委托人在评标、谈判、合同谈判过程中所签署的一切文件和处理与之有关的一切事务，我均予以承认。</w:t>
      </w:r>
    </w:p>
    <w:p>
      <w:pPr>
        <w:spacing w:before="120" w:beforeLines="50"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before="120" w:beforeLines="50" w:line="500" w:lineRule="exact"/>
        <w:ind w:firstLine="480" w:firstLineChars="200"/>
        <w:rPr>
          <w:rFonts w:ascii="宋体" w:hAnsi="宋体"/>
          <w:sz w:val="24"/>
        </w:rPr>
      </w:pPr>
      <w:r>
        <w:rPr>
          <w:rFonts w:hint="eastAsia" w:ascii="宋体" w:hAnsi="宋体"/>
          <w:sz w:val="24"/>
        </w:rPr>
        <w:t>代理人无转委托权，特此委托。</w:t>
      </w:r>
    </w:p>
    <w:tbl>
      <w:tblPr>
        <w:tblStyle w:val="16"/>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4320" w:type="dxa"/>
          </w:tcPr>
          <w:p>
            <w:pPr>
              <w:spacing w:line="500" w:lineRule="exact"/>
              <w:ind w:left="-64"/>
              <w:jc w:val="center"/>
              <w:rPr>
                <w:rFonts w:ascii="宋体" w:hAnsi="宋体"/>
                <w:sz w:val="24"/>
              </w:rPr>
            </w:pPr>
          </w:p>
          <w:p>
            <w:pPr>
              <w:spacing w:line="500" w:lineRule="exact"/>
              <w:ind w:left="-64"/>
              <w:jc w:val="center"/>
              <w:rPr>
                <w:rFonts w:ascii="宋体" w:hAnsi="宋体"/>
                <w:sz w:val="24"/>
              </w:rPr>
            </w:pPr>
          </w:p>
          <w:p>
            <w:pPr>
              <w:spacing w:line="500" w:lineRule="exact"/>
              <w:ind w:left="-64"/>
              <w:jc w:val="center"/>
              <w:rPr>
                <w:rFonts w:ascii="宋体" w:hAnsi="宋体"/>
                <w:sz w:val="24"/>
              </w:rPr>
            </w:pPr>
            <w:r>
              <w:rPr>
                <w:rFonts w:hint="eastAsia" w:ascii="宋体" w:hAnsi="宋体"/>
                <w:sz w:val="24"/>
              </w:rPr>
              <w:t>法定代表人身份证复印件正反面</w:t>
            </w:r>
          </w:p>
          <w:p>
            <w:pPr>
              <w:spacing w:line="500" w:lineRule="exact"/>
              <w:ind w:left="-64"/>
              <w:jc w:val="center"/>
              <w:rPr>
                <w:rFonts w:ascii="宋体" w:hAnsi="宋体"/>
                <w:sz w:val="24"/>
              </w:rPr>
            </w:pPr>
          </w:p>
          <w:p>
            <w:pPr>
              <w:spacing w:line="500" w:lineRule="exact"/>
              <w:ind w:left="-64"/>
              <w:jc w:val="center"/>
              <w:rPr>
                <w:rFonts w:ascii="宋体" w:hAnsi="宋体"/>
                <w:sz w:val="24"/>
              </w:rPr>
            </w:pPr>
          </w:p>
        </w:tc>
        <w:tc>
          <w:tcPr>
            <w:tcW w:w="4471" w:type="dxa"/>
          </w:tcPr>
          <w:p>
            <w:pPr>
              <w:spacing w:line="500" w:lineRule="exact"/>
              <w:ind w:left="-64"/>
              <w:jc w:val="center"/>
              <w:rPr>
                <w:rFonts w:ascii="宋体" w:hAnsi="宋体"/>
                <w:sz w:val="24"/>
              </w:rPr>
            </w:pPr>
          </w:p>
          <w:p>
            <w:pPr>
              <w:spacing w:line="500" w:lineRule="exact"/>
              <w:jc w:val="center"/>
              <w:rPr>
                <w:rFonts w:ascii="宋体" w:hAnsi="宋体"/>
                <w:sz w:val="24"/>
              </w:rPr>
            </w:pPr>
          </w:p>
          <w:p>
            <w:pPr>
              <w:spacing w:line="500" w:lineRule="exact"/>
              <w:ind w:left="-64"/>
              <w:jc w:val="center"/>
              <w:rPr>
                <w:rFonts w:ascii="宋体" w:hAnsi="宋体"/>
                <w:sz w:val="24"/>
              </w:rPr>
            </w:pPr>
            <w:r>
              <w:rPr>
                <w:rFonts w:ascii="宋体" w:hAnsi="宋体"/>
                <w:sz w:val="24"/>
              </w:rPr>
              <w:t>代理人</w:t>
            </w:r>
            <w:r>
              <w:rPr>
                <w:rFonts w:hint="eastAsia" w:ascii="宋体" w:hAnsi="宋体"/>
                <w:sz w:val="24"/>
              </w:rPr>
              <w:t>身份证复印件正反面</w:t>
            </w:r>
          </w:p>
          <w:p>
            <w:pPr>
              <w:spacing w:line="500" w:lineRule="exact"/>
              <w:jc w:val="center"/>
              <w:rPr>
                <w:rFonts w:ascii="宋体" w:hAnsi="宋体"/>
                <w:sz w:val="24"/>
              </w:rPr>
            </w:pPr>
          </w:p>
        </w:tc>
      </w:tr>
    </w:tbl>
    <w:p>
      <w:pPr>
        <w:spacing w:line="500" w:lineRule="exact"/>
        <w:rPr>
          <w:rFonts w:ascii="宋体" w:hAnsi="宋体"/>
          <w:szCs w:val="21"/>
        </w:rPr>
      </w:pPr>
    </w:p>
    <w:p>
      <w:pPr>
        <w:spacing w:line="400" w:lineRule="exact"/>
        <w:ind w:firstLine="2400" w:firstLineChars="1000"/>
        <w:rPr>
          <w:rFonts w:ascii="宋体" w:hAnsi="宋体"/>
          <w:sz w:val="24"/>
          <w:szCs w:val="24"/>
        </w:rPr>
      </w:pPr>
      <w:r>
        <w:rPr>
          <w:rFonts w:hint="eastAsia" w:ascii="黑体" w:hAnsi="宋体" w:eastAsia="黑体"/>
          <w:sz w:val="24"/>
        </w:rPr>
        <w:t>投  标  人：</w:t>
      </w:r>
      <w:r>
        <w:rPr>
          <w:rFonts w:hint="eastAsia" w:ascii="宋体" w:hAnsi="宋体"/>
          <w:sz w:val="24"/>
          <w:u w:val="single"/>
        </w:rPr>
        <w:t xml:space="preserve">                        </w:t>
      </w:r>
      <w:r>
        <w:rPr>
          <w:rFonts w:hint="eastAsia" w:ascii="宋体" w:hAnsi="宋体"/>
          <w:sz w:val="24"/>
        </w:rPr>
        <w:t>（盖单位章）</w:t>
      </w:r>
    </w:p>
    <w:p>
      <w:pPr>
        <w:spacing w:line="400" w:lineRule="exact"/>
        <w:ind w:firstLine="4080" w:firstLineChars="1700"/>
        <w:rPr>
          <w:rFonts w:ascii="宋体" w:hAnsi="宋体"/>
          <w:sz w:val="24"/>
        </w:rPr>
      </w:pPr>
    </w:p>
    <w:p>
      <w:pPr>
        <w:spacing w:line="400" w:lineRule="exact"/>
        <w:ind w:firstLine="2400" w:firstLineChars="1000"/>
        <w:rPr>
          <w:rFonts w:ascii="宋体" w:hAnsi="宋体"/>
          <w:sz w:val="24"/>
        </w:rPr>
      </w:pPr>
      <w:r>
        <w:rPr>
          <w:rFonts w:hint="eastAsia" w:ascii="黑体" w:hAnsi="宋体" w:eastAsia="黑体"/>
          <w:sz w:val="24"/>
        </w:rPr>
        <w:t>法定代表人：</w:t>
      </w:r>
      <w:r>
        <w:rPr>
          <w:rFonts w:hint="eastAsia" w:ascii="宋体" w:hAnsi="宋体"/>
          <w:sz w:val="24"/>
          <w:u w:val="single"/>
        </w:rPr>
        <w:t xml:space="preserve">                       </w:t>
      </w:r>
      <w:r>
        <w:rPr>
          <w:rFonts w:hint="eastAsia" w:ascii="宋体" w:hAnsi="宋体"/>
          <w:sz w:val="24"/>
        </w:rPr>
        <w:t>（签字或盖章）</w:t>
      </w:r>
    </w:p>
    <w:p>
      <w:pPr>
        <w:spacing w:line="400" w:lineRule="exact"/>
        <w:ind w:firstLine="4080" w:firstLineChars="1700"/>
        <w:rPr>
          <w:rFonts w:ascii="宋体" w:hAnsi="宋体"/>
          <w:sz w:val="24"/>
        </w:rPr>
      </w:pPr>
    </w:p>
    <w:p>
      <w:pPr>
        <w:spacing w:line="400" w:lineRule="exact"/>
        <w:ind w:firstLine="2400" w:firstLineChars="1000"/>
        <w:rPr>
          <w:rFonts w:ascii="黑体" w:hAnsi="宋体" w:eastAsia="黑体"/>
          <w:sz w:val="24"/>
          <w:u w:val="single"/>
        </w:rPr>
      </w:pPr>
      <w:r>
        <w:rPr>
          <w:rFonts w:hint="eastAsia" w:ascii="黑体" w:hAnsi="宋体" w:eastAsia="黑体"/>
          <w:sz w:val="24"/>
        </w:rPr>
        <w:t>身份证号码：</w:t>
      </w:r>
      <w:r>
        <w:rPr>
          <w:rFonts w:hint="eastAsia" w:ascii="黑体" w:hAnsi="宋体" w:eastAsia="黑体"/>
          <w:sz w:val="24"/>
          <w:u w:val="single"/>
        </w:rPr>
        <w:t xml:space="preserve">                                   </w:t>
      </w:r>
    </w:p>
    <w:p>
      <w:pPr>
        <w:spacing w:line="400" w:lineRule="exact"/>
        <w:rPr>
          <w:rFonts w:ascii="黑体" w:hAnsi="宋体" w:eastAsia="黑体"/>
          <w:sz w:val="24"/>
          <w:u w:val="single"/>
        </w:rPr>
      </w:pPr>
    </w:p>
    <w:p>
      <w:pPr>
        <w:spacing w:line="400" w:lineRule="exact"/>
        <w:ind w:firstLine="2400" w:firstLineChars="1000"/>
        <w:rPr>
          <w:rFonts w:ascii="宋体" w:hAnsi="宋体"/>
          <w:sz w:val="24"/>
        </w:rPr>
      </w:pPr>
      <w:r>
        <w:rPr>
          <w:rFonts w:hint="eastAsia" w:ascii="黑体" w:hAnsi="宋体" w:eastAsia="黑体"/>
          <w:sz w:val="24"/>
        </w:rPr>
        <w:t>委托代理人：</w:t>
      </w:r>
      <w:r>
        <w:rPr>
          <w:rFonts w:hint="eastAsia" w:ascii="宋体" w:hAnsi="宋体"/>
          <w:sz w:val="24"/>
          <w:u w:val="single"/>
        </w:rPr>
        <w:t xml:space="preserve">                            </w:t>
      </w:r>
      <w:r>
        <w:rPr>
          <w:rFonts w:hint="eastAsia" w:ascii="宋体" w:hAnsi="宋体"/>
          <w:sz w:val="24"/>
        </w:rPr>
        <w:t>（签字）</w:t>
      </w:r>
    </w:p>
    <w:p>
      <w:pPr>
        <w:spacing w:line="400" w:lineRule="exact"/>
        <w:ind w:firstLine="4080" w:firstLineChars="1700"/>
        <w:rPr>
          <w:rFonts w:ascii="宋体" w:hAnsi="宋体"/>
          <w:sz w:val="24"/>
        </w:rPr>
      </w:pPr>
    </w:p>
    <w:p>
      <w:pPr>
        <w:spacing w:line="400" w:lineRule="exact"/>
        <w:ind w:firstLine="2400" w:firstLineChars="1000"/>
        <w:rPr>
          <w:rFonts w:ascii="黑体" w:hAnsi="宋体" w:eastAsia="黑体"/>
          <w:sz w:val="24"/>
          <w:u w:val="single"/>
        </w:rPr>
      </w:pPr>
      <w:r>
        <w:rPr>
          <w:rFonts w:hint="eastAsia" w:ascii="黑体" w:hAnsi="宋体" w:eastAsia="黑体"/>
          <w:sz w:val="24"/>
        </w:rPr>
        <w:t>身份证号码：</w:t>
      </w:r>
      <w:r>
        <w:rPr>
          <w:rFonts w:hint="eastAsia" w:ascii="黑体" w:hAnsi="宋体" w:eastAsia="黑体"/>
          <w:sz w:val="24"/>
          <w:u w:val="single"/>
        </w:rPr>
        <w:t xml:space="preserve">                                   </w:t>
      </w:r>
    </w:p>
    <w:p>
      <w:pPr>
        <w:spacing w:line="400" w:lineRule="exact"/>
        <w:ind w:firstLine="4080" w:firstLineChars="1700"/>
        <w:rPr>
          <w:rFonts w:ascii="黑体" w:hAnsi="宋体" w:eastAsia="黑体"/>
          <w:sz w:val="24"/>
        </w:rPr>
      </w:pPr>
    </w:p>
    <w:p>
      <w:pPr>
        <w:spacing w:line="400" w:lineRule="exact"/>
        <w:ind w:firstLine="4680" w:firstLineChars="19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240" w:beforeLines="100" w:after="120" w:afterLines="50"/>
        <w:jc w:val="left"/>
        <w:rPr>
          <w:rFonts w:ascii="宋体" w:hAnsi="宋体"/>
          <w:b/>
          <w:sz w:val="24"/>
          <w:szCs w:val="21"/>
        </w:rPr>
      </w:pPr>
      <w:r>
        <w:rPr>
          <w:rFonts w:hint="eastAsia" w:ascii="宋体" w:hAnsi="宋体"/>
          <w:b/>
          <w:sz w:val="24"/>
          <w:szCs w:val="21"/>
        </w:rPr>
        <w:t>注：法定代表人授权委托书除装订在</w:t>
      </w:r>
      <w:r>
        <w:rPr>
          <w:rFonts w:hint="eastAsia" w:ascii="宋体" w:hAnsi="宋体"/>
          <w:b/>
          <w:bCs/>
          <w:sz w:val="24"/>
        </w:rPr>
        <w:t>谈判</w:t>
      </w:r>
      <w:r>
        <w:rPr>
          <w:rFonts w:hint="eastAsia" w:ascii="宋体" w:hAnsi="宋体"/>
          <w:b/>
          <w:sz w:val="24"/>
          <w:szCs w:val="21"/>
        </w:rPr>
        <w:t>响应文件外请单独准备一份原件，以便于开标时查验。（若法定代表人参与投标响应，则单独准备一份法定代表人身份证明原件）</w:t>
      </w:r>
      <w:bookmarkStart w:id="93" w:name="_Toc11505"/>
    </w:p>
    <w:p>
      <w:pPr>
        <w:spacing w:before="240" w:beforeLines="100" w:after="120" w:afterLines="50"/>
        <w:jc w:val="left"/>
        <w:rPr>
          <w:rFonts w:ascii="宋体" w:hAnsi="宋体"/>
          <w:b/>
          <w:sz w:val="24"/>
          <w:szCs w:val="21"/>
        </w:rPr>
      </w:pPr>
    </w:p>
    <w:p>
      <w:pPr>
        <w:pStyle w:val="4"/>
        <w:spacing w:line="415" w:lineRule="auto"/>
        <w:ind w:firstLine="3313" w:firstLineChars="1100"/>
        <w:rPr>
          <w:rFonts w:cs="宋体"/>
          <w:sz w:val="30"/>
          <w:szCs w:val="30"/>
        </w:rPr>
      </w:pPr>
      <w:r>
        <w:rPr>
          <w:rFonts w:hint="eastAsia" w:cs="宋体"/>
          <w:sz w:val="30"/>
          <w:szCs w:val="30"/>
        </w:rPr>
        <w:t>四  资格性自查表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2115"/>
        <w:gridCol w:w="481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629" w:type="dxa"/>
            <w:shd w:val="clear" w:color="auto" w:fill="BFBFBF"/>
            <w:vAlign w:val="center"/>
          </w:tcPr>
          <w:p>
            <w:pPr>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序号</w:t>
            </w:r>
          </w:p>
        </w:tc>
        <w:tc>
          <w:tcPr>
            <w:tcW w:w="2115" w:type="dxa"/>
            <w:shd w:val="clear" w:color="auto" w:fill="BFBFBF"/>
            <w:vAlign w:val="center"/>
          </w:tcPr>
          <w:p>
            <w:pPr>
              <w:spacing w:line="400" w:lineRule="exact"/>
              <w:jc w:val="center"/>
              <w:rPr>
                <w:rFonts w:ascii="宋体" w:hAnsi="宋体" w:cs="宋体"/>
                <w:b/>
                <w:kern w:val="0"/>
                <w:sz w:val="24"/>
                <w:szCs w:val="24"/>
              </w:rPr>
            </w:pPr>
            <w:r>
              <w:rPr>
                <w:rFonts w:hint="eastAsia" w:ascii="宋体" w:hAnsi="宋体" w:cs="宋体"/>
                <w:b/>
                <w:kern w:val="0"/>
                <w:sz w:val="24"/>
                <w:szCs w:val="24"/>
              </w:rPr>
              <w:t>资格要求</w:t>
            </w:r>
          </w:p>
        </w:tc>
        <w:tc>
          <w:tcPr>
            <w:tcW w:w="4815" w:type="dxa"/>
            <w:shd w:val="clear" w:color="auto" w:fill="BFBFBF"/>
            <w:vAlign w:val="center"/>
          </w:tcPr>
          <w:p>
            <w:pPr>
              <w:widowControl/>
              <w:spacing w:line="400" w:lineRule="exact"/>
              <w:jc w:val="center"/>
              <w:rPr>
                <w:rFonts w:ascii="宋体" w:hAnsi="宋体" w:cs="宋体"/>
                <w:b/>
                <w:kern w:val="0"/>
                <w:sz w:val="24"/>
                <w:szCs w:val="24"/>
              </w:rPr>
            </w:pPr>
            <w:r>
              <w:rPr>
                <w:rFonts w:hint="eastAsia" w:ascii="宋体" w:hAnsi="宋体" w:cs="宋体"/>
                <w:b/>
                <w:kern w:val="0"/>
                <w:sz w:val="24"/>
                <w:szCs w:val="24"/>
              </w:rPr>
              <w:t>须提供的资料</w:t>
            </w:r>
          </w:p>
        </w:tc>
        <w:tc>
          <w:tcPr>
            <w:tcW w:w="698" w:type="dxa"/>
            <w:shd w:val="clear" w:color="auto" w:fill="BFBFBF"/>
            <w:vAlign w:val="center"/>
          </w:tcPr>
          <w:p>
            <w:pPr>
              <w:widowControl/>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629" w:type="dxa"/>
            <w:vMerge w:val="restart"/>
            <w:vAlign w:val="center"/>
          </w:tcPr>
          <w:p>
            <w:pPr>
              <w:spacing w:line="400" w:lineRule="exact"/>
              <w:jc w:val="center"/>
              <w:rPr>
                <w:rFonts w:ascii="宋体" w:hAnsi="宋体" w:cs="宋体"/>
                <w:sz w:val="24"/>
                <w:szCs w:val="24"/>
                <w:lang w:val="hr-HR"/>
              </w:rPr>
            </w:pPr>
            <w:r>
              <w:rPr>
                <w:rFonts w:hint="eastAsia" w:ascii="宋体" w:hAnsi="宋体" w:cs="宋体"/>
                <w:sz w:val="24"/>
                <w:szCs w:val="24"/>
                <w:lang w:val="hr-HR"/>
              </w:rPr>
              <w:t>1</w:t>
            </w:r>
          </w:p>
        </w:tc>
        <w:tc>
          <w:tcPr>
            <w:tcW w:w="2115" w:type="dxa"/>
            <w:vAlign w:val="center"/>
          </w:tcPr>
          <w:p>
            <w:pPr>
              <w:spacing w:line="400" w:lineRule="exact"/>
              <w:jc w:val="left"/>
              <w:rPr>
                <w:rFonts w:ascii="宋体" w:hAnsi="宋体" w:cs="宋体"/>
                <w:sz w:val="24"/>
                <w:szCs w:val="24"/>
              </w:rPr>
            </w:pPr>
            <w:r>
              <w:rPr>
                <w:rFonts w:hint="eastAsia" w:ascii="宋体" w:hAnsi="宋体" w:cs="宋体"/>
                <w:sz w:val="24"/>
                <w:szCs w:val="24"/>
              </w:rPr>
              <w:t>具有独立承担</w:t>
            </w:r>
          </w:p>
          <w:p>
            <w:pPr>
              <w:spacing w:line="400" w:lineRule="exact"/>
              <w:jc w:val="left"/>
              <w:rPr>
                <w:rFonts w:ascii="宋体" w:hAnsi="宋体" w:cs="宋体"/>
                <w:sz w:val="24"/>
                <w:szCs w:val="24"/>
                <w:lang w:val="hr-HR"/>
              </w:rPr>
            </w:pPr>
            <w:r>
              <w:rPr>
                <w:rFonts w:hint="eastAsia" w:ascii="宋体" w:hAnsi="宋体" w:cs="宋体"/>
                <w:sz w:val="24"/>
                <w:szCs w:val="24"/>
              </w:rPr>
              <w:t>民事责任的能力</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（1）供应商是企业（包括合伙企业），提供有效的营业执照。</w:t>
            </w:r>
          </w:p>
          <w:p>
            <w:pPr>
              <w:spacing w:line="400" w:lineRule="exact"/>
              <w:jc w:val="left"/>
              <w:rPr>
                <w:rFonts w:ascii="宋体" w:hAnsi="宋体" w:cs="宋体"/>
                <w:sz w:val="24"/>
                <w:szCs w:val="24"/>
              </w:rPr>
            </w:pPr>
            <w:r>
              <w:rPr>
                <w:rFonts w:hint="eastAsia" w:ascii="宋体" w:hAnsi="宋体" w:cs="宋体"/>
                <w:sz w:val="24"/>
                <w:szCs w:val="24"/>
              </w:rPr>
              <w:t>（2）供应商是事业单位，提供有效的事业单位法人证书。</w:t>
            </w:r>
          </w:p>
          <w:p>
            <w:pPr>
              <w:spacing w:line="400" w:lineRule="exact"/>
              <w:jc w:val="left"/>
              <w:rPr>
                <w:rFonts w:ascii="宋体" w:hAnsi="宋体" w:cs="宋体"/>
                <w:sz w:val="24"/>
                <w:szCs w:val="24"/>
              </w:rPr>
            </w:pPr>
            <w:r>
              <w:rPr>
                <w:rFonts w:hint="eastAsia" w:ascii="宋体" w:hAnsi="宋体" w:cs="宋体"/>
                <w:sz w:val="24"/>
                <w:szCs w:val="24"/>
              </w:rPr>
              <w:t>（3）供应商是非企业专业服务机构的，提供有效的执业许可证等证明文件。</w:t>
            </w:r>
          </w:p>
          <w:p>
            <w:pPr>
              <w:spacing w:line="400" w:lineRule="exact"/>
              <w:jc w:val="left"/>
              <w:rPr>
                <w:rFonts w:ascii="宋体" w:hAnsi="宋体" w:cs="宋体"/>
                <w:sz w:val="24"/>
                <w:szCs w:val="24"/>
              </w:rPr>
            </w:pPr>
            <w:r>
              <w:rPr>
                <w:rFonts w:hint="eastAsia" w:ascii="宋体" w:hAnsi="宋体" w:cs="宋体"/>
                <w:sz w:val="24"/>
                <w:szCs w:val="24"/>
              </w:rPr>
              <w:t>（4）供应商是个体工商户，提供有效的个体工商户营业执照。</w:t>
            </w:r>
          </w:p>
          <w:p>
            <w:pPr>
              <w:spacing w:line="400" w:lineRule="exact"/>
              <w:jc w:val="left"/>
              <w:rPr>
                <w:rFonts w:ascii="宋体" w:hAnsi="宋体" w:cs="宋体"/>
                <w:sz w:val="24"/>
                <w:szCs w:val="24"/>
                <w:lang w:val="hr-HR"/>
              </w:rPr>
            </w:pPr>
            <w:r>
              <w:rPr>
                <w:rFonts w:hint="eastAsia" w:ascii="宋体" w:hAnsi="宋体" w:cs="宋体"/>
                <w:sz w:val="24"/>
                <w:szCs w:val="24"/>
              </w:rPr>
              <w:t>（5）供应商是自然人，提供有效的自然人身份证明。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7"/>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具有良好的商业信誉和健全的财务会计制度</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由供应商提供</w:t>
            </w:r>
            <w:r>
              <w:rPr>
                <w:rFonts w:hint="eastAsia" w:ascii="宋体" w:hAnsi="宋体" w:cs="宋体"/>
                <w:sz w:val="24"/>
                <w:szCs w:val="24"/>
              </w:rPr>
              <w:t>具有良好的商业信誉和健全的财务会计制度的</w:t>
            </w:r>
            <w:r>
              <w:rPr>
                <w:rFonts w:hint="eastAsia" w:ascii="宋体" w:hAnsi="宋体" w:cs="宋体"/>
                <w:b/>
                <w:bCs/>
                <w:sz w:val="24"/>
                <w:szCs w:val="24"/>
                <w:lang w:val="hr-HR"/>
              </w:rPr>
              <w:t>书面承诺，或提供相应证明材料</w:t>
            </w:r>
            <w:r>
              <w:rPr>
                <w:rFonts w:hint="eastAsia" w:ascii="宋体" w:hAnsi="宋体" w:cs="宋体"/>
                <w:sz w:val="24"/>
                <w:szCs w:val="24"/>
                <w:lang w:val="hr-HR"/>
              </w:rPr>
              <w:t>：</w:t>
            </w:r>
          </w:p>
          <w:p>
            <w:pPr>
              <w:spacing w:line="400" w:lineRule="exact"/>
              <w:jc w:val="left"/>
              <w:rPr>
                <w:rFonts w:ascii="宋体" w:hAnsi="宋体" w:cs="宋体"/>
                <w:sz w:val="24"/>
                <w:szCs w:val="24"/>
                <w:lang w:val="hr-HR"/>
              </w:rPr>
            </w:pPr>
            <w:r>
              <w:rPr>
                <w:rFonts w:hint="eastAsia" w:ascii="宋体" w:hAnsi="宋体" w:cs="宋体"/>
                <w:sz w:val="24"/>
                <w:szCs w:val="24"/>
                <w:lang w:val="hr-HR"/>
              </w:rPr>
              <w:t>供应商应提供202</w:t>
            </w:r>
            <w:r>
              <w:rPr>
                <w:rFonts w:hint="eastAsia" w:ascii="宋体" w:hAnsi="宋体" w:cs="宋体"/>
                <w:sz w:val="24"/>
                <w:szCs w:val="24"/>
              </w:rPr>
              <w:t>1</w:t>
            </w:r>
            <w:r>
              <w:rPr>
                <w:rFonts w:hint="eastAsia" w:ascii="宋体" w:hAnsi="宋体" w:cs="宋体"/>
                <w:sz w:val="24"/>
                <w:szCs w:val="24"/>
                <w:lang w:val="hr-HR"/>
              </w:rPr>
              <w:t>年或202</w:t>
            </w:r>
            <w:r>
              <w:rPr>
                <w:rFonts w:hint="eastAsia" w:ascii="宋体" w:hAnsi="宋体" w:cs="宋体"/>
                <w:sz w:val="24"/>
                <w:szCs w:val="24"/>
              </w:rPr>
              <w:t>2</w:t>
            </w:r>
            <w:r>
              <w:rPr>
                <w:rFonts w:hint="eastAsia" w:ascii="宋体" w:hAnsi="宋体" w:cs="宋体"/>
                <w:sz w:val="24"/>
                <w:szCs w:val="24"/>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7"/>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具有履行合同所必需的设备和专业技术能力</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提供具备足够数量的设施设备及技术人员的证明材料或承诺。</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7"/>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有依法缴纳税收和社会保障资金的良好记录</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由供应商提供有依法缴纳税收和社会保障资金的良好记录的</w:t>
            </w:r>
            <w:r>
              <w:rPr>
                <w:rFonts w:hint="eastAsia" w:ascii="宋体" w:hAnsi="宋体" w:cs="宋体"/>
                <w:b/>
                <w:bCs/>
                <w:sz w:val="24"/>
                <w:szCs w:val="24"/>
              </w:rPr>
              <w:t>书面承诺及声明，或提供相应证明材料</w:t>
            </w:r>
            <w:r>
              <w:rPr>
                <w:rFonts w:hint="eastAsia" w:ascii="宋体" w:hAnsi="宋体" w:cs="宋体"/>
                <w:sz w:val="24"/>
                <w:szCs w:val="24"/>
              </w:rPr>
              <w:t>：</w:t>
            </w:r>
          </w:p>
          <w:p>
            <w:pPr>
              <w:spacing w:line="400" w:lineRule="exact"/>
              <w:jc w:val="left"/>
              <w:rPr>
                <w:rFonts w:ascii="宋体" w:hAnsi="宋体" w:cs="宋体"/>
                <w:sz w:val="24"/>
                <w:szCs w:val="24"/>
              </w:rPr>
            </w:pPr>
            <w:r>
              <w:rPr>
                <w:rFonts w:hint="eastAsia" w:ascii="宋体" w:hAnsi="宋体" w:cs="宋体"/>
                <w:sz w:val="24"/>
                <w:szCs w:val="24"/>
              </w:rPr>
              <w:t>（1）供应商依法交纳税收的证明材料：本项目公告发布时间前6个月内（至少提供1个月）交纳税收的凭据（完税证、缴款书、印花税票、银行代扣（代缴）转账凭证等均可）；</w:t>
            </w:r>
          </w:p>
          <w:p>
            <w:pPr>
              <w:spacing w:line="400" w:lineRule="exact"/>
              <w:jc w:val="left"/>
              <w:rPr>
                <w:rFonts w:ascii="宋体" w:hAnsi="宋体" w:cs="宋体"/>
                <w:sz w:val="24"/>
                <w:szCs w:val="24"/>
              </w:rPr>
            </w:pPr>
            <w:r>
              <w:rPr>
                <w:rFonts w:hint="eastAsia" w:ascii="宋体" w:hAnsi="宋体" w:cs="宋体"/>
                <w:sz w:val="24"/>
                <w:szCs w:val="24"/>
              </w:rPr>
              <w:t>（2）供应商依法交纳社会保障资金的证明材料：本项目公告发布时间前6个月内（至少提供1个月）交纳社会保险的凭据（专用收据或社会保险交纳清单）；</w:t>
            </w:r>
          </w:p>
          <w:p>
            <w:pPr>
              <w:spacing w:line="400" w:lineRule="exact"/>
              <w:jc w:val="left"/>
              <w:rPr>
                <w:rFonts w:ascii="宋体" w:hAnsi="宋体" w:cs="宋体"/>
                <w:sz w:val="24"/>
                <w:szCs w:val="24"/>
              </w:rPr>
            </w:pPr>
            <w:r>
              <w:rPr>
                <w:rFonts w:hint="eastAsia" w:ascii="宋体" w:hAnsi="宋体" w:cs="宋体"/>
                <w:sz w:val="24"/>
                <w:szCs w:val="24"/>
              </w:rPr>
              <w:t>（3）供应商为其他组织或自然人的，也需要按此项规定提供交纳税收的凭据和交纳社会保险的凭据；</w:t>
            </w:r>
          </w:p>
          <w:p>
            <w:pPr>
              <w:spacing w:line="400" w:lineRule="exact"/>
              <w:jc w:val="left"/>
              <w:rPr>
                <w:rFonts w:ascii="宋体" w:hAnsi="宋体" w:cs="宋体"/>
                <w:sz w:val="24"/>
                <w:szCs w:val="24"/>
                <w:lang w:val="hr-HR"/>
              </w:rPr>
            </w:pPr>
            <w:r>
              <w:rPr>
                <w:rFonts w:hint="eastAsia" w:ascii="宋体" w:hAnsi="宋体" w:cs="宋体"/>
                <w:sz w:val="24"/>
                <w:szCs w:val="24"/>
              </w:rPr>
              <w:t>（4）依法免税或不需要交纳社会保障资金的供应商，应提供相应文件证明其依法免税或不需要交纳社会保障资金。</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7"/>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参加政府采购活动前三年内，在经营活动中没有重大违法记录</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7"/>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法律、行政法规规定的其他条件</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具备法律、行政法规规定的其他条件的证明材料。</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lang w:val="hr-HR"/>
              </w:rPr>
            </w:pPr>
            <w:r>
              <w:rPr>
                <w:rFonts w:hint="eastAsia" w:ascii="宋体" w:hAnsi="宋体" w:cs="宋体"/>
                <w:sz w:val="24"/>
                <w:szCs w:val="24"/>
              </w:rPr>
              <w:t>4</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未被列入失信被执行人、重大税收违法失信主体，未被列入政府采购严重违法失信行为记录名单</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sz w:val="24"/>
                <w:szCs w:val="24"/>
              </w:rPr>
              <w:t>磋商</w:t>
            </w:r>
            <w:r>
              <w:rPr>
                <w:rFonts w:hint="eastAsia" w:ascii="宋体" w:hAnsi="宋体" w:cs="宋体"/>
                <w:sz w:val="24"/>
                <w:szCs w:val="24"/>
                <w:lang w:val="hr-HR"/>
              </w:rPr>
              <w:t>当日代理机构查询结果为准。</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5</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单位负责人为同一人或者存在直接控股、管理关系的不同投标人，不得参加本项目同一合同项下的采购活动</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6</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pacing w:val="-6"/>
                <w:sz w:val="24"/>
                <w:szCs w:val="24"/>
              </w:rPr>
              <w:t>为本采购项目提供整体设计、规范编制或者项目管理、监理、检测等服务的，不得再参加本项目的其他招标采购活动</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bl>
    <w:p>
      <w:pPr>
        <w:widowControl/>
        <w:spacing w:line="360" w:lineRule="auto"/>
        <w:ind w:firstLine="480" w:firstLineChars="200"/>
        <w:rPr>
          <w:rFonts w:ascii="宋体" w:hAnsi="宋体" w:cs="宋体"/>
          <w:sz w:val="24"/>
        </w:rPr>
      </w:pPr>
      <w:r>
        <w:rPr>
          <w:rFonts w:hint="eastAsia" w:ascii="宋体" w:hAnsi="宋体" w:cs="宋体"/>
          <w:sz w:val="24"/>
        </w:rPr>
        <w:t>注：</w:t>
      </w:r>
    </w:p>
    <w:p>
      <w:pPr>
        <w:widowControl/>
        <w:spacing w:line="360" w:lineRule="auto"/>
        <w:ind w:firstLine="480" w:firstLineChars="200"/>
        <w:rPr>
          <w:rFonts w:ascii="宋体" w:hAnsi="宋体" w:cs="宋体"/>
          <w:sz w:val="24"/>
        </w:rPr>
      </w:pPr>
      <w:r>
        <w:rPr>
          <w:rFonts w:hint="eastAsia" w:ascii="宋体" w:hAnsi="宋体" w:cs="宋体"/>
          <w:sz w:val="24"/>
        </w:rPr>
        <w:t>（1）所有证书、证明文件包括按要求提供的官网截图必须是真实可查证的，须注明资料来源。所有证明材料须清晰可辨认，如因证明材料模糊无法辨认，缺页、漏页导致无法进行评审认定的责任由供应商自负。如发现弄虚作假将按照有关规定严肃处理。证明材料仅限于磋商单位本身，参股或控股单位及独立法人子公司的材料不能作为证明材料。</w:t>
      </w:r>
    </w:p>
    <w:p>
      <w:pPr>
        <w:widowControl/>
        <w:spacing w:line="360" w:lineRule="auto"/>
        <w:ind w:firstLine="480" w:firstLineChars="200"/>
        <w:rPr>
          <w:rFonts w:ascii="宋体" w:hAnsi="宋体" w:cs="宋体"/>
          <w:sz w:val="24"/>
        </w:rPr>
      </w:pPr>
      <w:r>
        <w:rPr>
          <w:rFonts w:hint="eastAsia" w:ascii="宋体" w:hAnsi="宋体" w:cs="宋体"/>
          <w:sz w:val="24"/>
        </w:rPr>
        <w:t>（2）对于响应文件中有任意一条不满足上表要求的将视为无效响应，不进入下一项评审。</w:t>
      </w:r>
    </w:p>
    <w:p>
      <w:pPr>
        <w:widowControl/>
        <w:spacing w:line="360" w:lineRule="auto"/>
        <w:ind w:firstLine="480" w:firstLineChars="200"/>
        <w:rPr>
          <w:rFonts w:ascii="宋体" w:hAnsi="宋体" w:cs="宋体"/>
          <w:sz w:val="24"/>
        </w:rPr>
      </w:pPr>
      <w:r>
        <w:rPr>
          <w:rFonts w:hint="eastAsia" w:ascii="宋体" w:hAnsi="宋体" w:cs="宋体"/>
          <w:sz w:val="24"/>
        </w:rPr>
        <w:t>（3）响应文件必须编制页码，并按照资格审查表的内容填写响应文件中对应的页码，方便查找。</w:t>
      </w:r>
    </w:p>
    <w:bookmarkEnd w:id="93"/>
    <w:p>
      <w:pPr>
        <w:rPr>
          <w:b/>
          <w:sz w:val="36"/>
        </w:rPr>
      </w:pPr>
    </w:p>
    <w:p>
      <w:pPr>
        <w:jc w:val="center"/>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pStyle w:val="21"/>
        <w:rPr>
          <w:b/>
          <w:sz w:val="36"/>
        </w:rPr>
      </w:pPr>
    </w:p>
    <w:p>
      <w:pPr>
        <w:jc w:val="center"/>
        <w:rPr>
          <w:b/>
          <w:sz w:val="30"/>
          <w:szCs w:val="30"/>
        </w:rPr>
      </w:pPr>
      <w:r>
        <w:rPr>
          <w:rFonts w:hint="eastAsia"/>
          <w:b/>
          <w:sz w:val="30"/>
          <w:szCs w:val="30"/>
        </w:rPr>
        <w:t>五、响应报价表</w:t>
      </w:r>
    </w:p>
    <w:p>
      <w:pPr>
        <w:jc w:val="center"/>
        <w:rPr>
          <w:sz w:val="28"/>
        </w:rPr>
      </w:pPr>
      <w:r>
        <w:rPr>
          <w:rFonts w:hint="eastAsia"/>
          <w:sz w:val="28"/>
        </w:rPr>
        <w:t>（首次报价）</w:t>
      </w:r>
    </w:p>
    <w:p>
      <w:pPr>
        <w:rPr>
          <w:sz w:val="28"/>
        </w:rPr>
      </w:pPr>
      <w:r>
        <w:rPr>
          <w:rFonts w:hint="eastAsia"/>
          <w:sz w:val="28"/>
        </w:rPr>
        <w:t>采购单位：</w:t>
      </w:r>
      <w:r>
        <w:rPr>
          <w:rFonts w:hint="eastAsia" w:ascii="宋体" w:hAnsi="宋体" w:cs="宋体"/>
          <w:color w:val="000000"/>
          <w:kern w:val="0"/>
          <w:sz w:val="28"/>
          <w:szCs w:val="28"/>
          <w:lang w:bidi="ar"/>
        </w:rPr>
        <w:t>黄石市</w:t>
      </w:r>
      <w:r>
        <w:rPr>
          <w:rFonts w:hint="eastAsia"/>
          <w:sz w:val="28"/>
          <w:szCs w:val="28"/>
        </w:rPr>
        <w:t>市中</w:t>
      </w:r>
      <w:r>
        <w:rPr>
          <w:rFonts w:hint="eastAsia"/>
          <w:sz w:val="28"/>
        </w:rPr>
        <w:t>心医院</w:t>
      </w:r>
    </w:p>
    <w:tbl>
      <w:tblPr>
        <w:tblStyle w:val="16"/>
        <w:tblW w:w="860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cr/>
            </w:r>
            <w:r>
              <w:rPr>
                <w:rFonts w:hint="eastAsia"/>
                <w:sz w:val="28"/>
              </w:rPr>
              <w:t>项目名称</w:t>
            </w:r>
          </w:p>
        </w:tc>
        <w:tc>
          <w:tcPr>
            <w:tcW w:w="6828" w:type="dxa"/>
            <w:vAlign w:val="center"/>
          </w:tcPr>
          <w:p>
            <w:pPr>
              <w:spacing w:line="400" w:lineRule="exact"/>
              <w:jc w:val="left"/>
              <w:rPr>
                <w:sz w:val="28"/>
              </w:rPr>
            </w:pPr>
            <w:r>
              <w:rPr>
                <w:rFonts w:hint="eastAsia" w:ascii="宋体" w:hAnsi="宋体" w:cs="宋体"/>
                <w:bCs/>
                <w:sz w:val="28"/>
                <w:szCs w:val="28"/>
              </w:rPr>
              <w:t>黄石</w:t>
            </w:r>
            <w:r>
              <w:rPr>
                <w:rFonts w:hint="eastAsia" w:ascii="宋体" w:hAnsi="宋体" w:cs="宋体"/>
                <w:bCs/>
                <w:sz w:val="28"/>
                <w:szCs w:val="28"/>
                <w:lang w:val="zh-CN"/>
              </w:rPr>
              <w:t>市中心医院</w:t>
            </w:r>
            <w:r>
              <w:rPr>
                <w:rFonts w:hint="eastAsia" w:ascii="宋体" w:hAnsi="宋体" w:cs="宋体"/>
                <w:bCs/>
                <w:sz w:val="28"/>
                <w:szCs w:val="28"/>
              </w:rPr>
              <w:t>（中心院区、普爱院区）病媒生物防治（灭“四害”）服务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项目编号</w:t>
            </w:r>
          </w:p>
        </w:tc>
        <w:tc>
          <w:tcPr>
            <w:tcW w:w="6828" w:type="dxa"/>
            <w:vAlign w:val="center"/>
          </w:tcPr>
          <w:p>
            <w:pPr>
              <w:spacing w:line="40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响应总报价</w:t>
            </w:r>
          </w:p>
        </w:tc>
        <w:tc>
          <w:tcPr>
            <w:tcW w:w="6828" w:type="dxa"/>
            <w:vAlign w:val="center"/>
          </w:tcPr>
          <w:p>
            <w:pPr>
              <w:jc w:val="left"/>
              <w:rPr>
                <w:sz w:val="28"/>
                <w:u w:val="single"/>
              </w:rPr>
            </w:pPr>
            <w:r>
              <w:rPr>
                <w:rFonts w:hint="eastAsia"/>
                <w:sz w:val="28"/>
              </w:rPr>
              <w:t>人民币（小写）：</w:t>
            </w:r>
            <w:r>
              <w:rPr>
                <w:rFonts w:hint="eastAsia"/>
                <w:sz w:val="28"/>
                <w:u w:val="single"/>
              </w:rPr>
              <w:t xml:space="preserve">                   </w:t>
            </w:r>
          </w:p>
          <w:p>
            <w:pPr>
              <w:jc w:val="left"/>
              <w:rPr>
                <w:sz w:val="28"/>
              </w:rPr>
            </w:pPr>
            <w:r>
              <w:rPr>
                <w:rFonts w:hint="eastAsia"/>
                <w:sz w:val="28"/>
              </w:rPr>
              <w:t>人民币（大写）：</w:t>
            </w:r>
            <w:r>
              <w:rPr>
                <w:rFonts w:hint="eastAsia"/>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p>
        </w:tc>
        <w:tc>
          <w:tcPr>
            <w:tcW w:w="6828" w:type="dxa"/>
            <w:vAlign w:val="center"/>
          </w:tcPr>
          <w:p>
            <w:pPr>
              <w:jc w:val="left"/>
              <w:rPr>
                <w:sz w:val="28"/>
                <w:u w:val="single"/>
              </w:rPr>
            </w:pPr>
          </w:p>
        </w:tc>
      </w:tr>
    </w:tbl>
    <w:p>
      <w:pPr>
        <w:spacing w:line="760" w:lineRule="exact"/>
        <w:rPr>
          <w:sz w:val="28"/>
        </w:rPr>
      </w:pPr>
      <w:r>
        <w:rPr>
          <w:rFonts w:hint="eastAsia"/>
          <w:sz w:val="28"/>
        </w:rPr>
        <w:t>投标人：</w:t>
      </w:r>
      <w:r>
        <w:rPr>
          <w:rFonts w:hint="eastAsia"/>
          <w:sz w:val="28"/>
          <w:u w:val="single"/>
        </w:rPr>
        <w:t xml:space="preserve">        </w:t>
      </w:r>
      <w:r>
        <w:rPr>
          <w:rFonts w:hint="eastAsia"/>
          <w:sz w:val="28"/>
        </w:rPr>
        <w:t>（公章）</w:t>
      </w:r>
    </w:p>
    <w:p>
      <w:pPr>
        <w:spacing w:line="760" w:lineRule="exact"/>
        <w:rPr>
          <w:sz w:val="28"/>
          <w:u w:val="single"/>
        </w:rPr>
      </w:pPr>
      <w:r>
        <w:rPr>
          <w:rFonts w:hint="eastAsia"/>
          <w:sz w:val="28"/>
        </w:rPr>
        <w:t>法定代表人或其授权代表人（签字或盖章）：</w:t>
      </w:r>
      <w:r>
        <w:rPr>
          <w:rFonts w:hint="eastAsia"/>
          <w:sz w:val="28"/>
          <w:u w:val="single"/>
        </w:rPr>
        <w:t xml:space="preserve">            </w:t>
      </w:r>
    </w:p>
    <w:p>
      <w:pPr>
        <w:spacing w:line="760" w:lineRule="exact"/>
        <w:rPr>
          <w:sz w:val="28"/>
        </w:rPr>
      </w:pPr>
      <w:r>
        <w:rPr>
          <w:rFonts w:hint="eastAsia"/>
          <w:sz w:val="28"/>
        </w:rPr>
        <w:t>日期：</w:t>
      </w:r>
    </w:p>
    <w:p>
      <w:pPr>
        <w:jc w:val="left"/>
        <w:rPr>
          <w:b/>
          <w:sz w:val="24"/>
        </w:rPr>
      </w:pPr>
      <w:r>
        <w:rPr>
          <w:rFonts w:hint="eastAsia"/>
          <w:b/>
          <w:sz w:val="24"/>
        </w:rPr>
        <w:t>注：1、响应报价总计为采购费用与其他费用的合成总计；包括服务引起的一切相关费用。</w:t>
      </w:r>
    </w:p>
    <w:p>
      <w:pPr>
        <w:spacing w:line="400" w:lineRule="exact"/>
        <w:jc w:val="left"/>
        <w:rPr>
          <w:b/>
          <w:sz w:val="24"/>
        </w:rPr>
      </w:pPr>
      <w:r>
        <w:rPr>
          <w:rFonts w:hint="eastAsia"/>
          <w:b/>
          <w:sz w:val="24"/>
        </w:rPr>
        <w:t>2、该表还应用纸信封单独密封，在投标截止时间以前单独递交。信封上应写明采购人名称、项目名称、谈判供应商名称。</w:t>
      </w:r>
    </w:p>
    <w:p>
      <w:pPr>
        <w:spacing w:line="400" w:lineRule="exact"/>
        <w:jc w:val="left"/>
        <w:rPr>
          <w:b/>
          <w:sz w:val="24"/>
        </w:rPr>
      </w:pPr>
      <w:r>
        <w:rPr>
          <w:rFonts w:hint="eastAsia"/>
          <w:b/>
          <w:sz w:val="24"/>
        </w:rPr>
        <w:t>3、开标一览表格式不得自行改动。</w:t>
      </w:r>
    </w:p>
    <w:p>
      <w:pPr>
        <w:spacing w:line="400" w:lineRule="exact"/>
        <w:rPr>
          <w:sz w:val="24"/>
        </w:rPr>
      </w:pPr>
      <w:r>
        <w:rPr>
          <w:rFonts w:hint="eastAsia"/>
          <w:b/>
          <w:sz w:val="24"/>
        </w:rPr>
        <w:t>4、该表供首次报价时使用，谈判供应商须按规定的格式填写，该表内填写的数据等内容须与谈判供应商的投标文件的内容相一致，否则，评标时以谈判供应商的投标文件的正本为准。</w:t>
      </w: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0"/>
          <w:szCs w:val="30"/>
        </w:rPr>
      </w:pPr>
    </w:p>
    <w:p>
      <w:pPr>
        <w:spacing w:line="400" w:lineRule="exact"/>
        <w:jc w:val="center"/>
        <w:rPr>
          <w:b/>
          <w:sz w:val="30"/>
          <w:szCs w:val="30"/>
        </w:rPr>
      </w:pPr>
      <w:r>
        <w:rPr>
          <w:rFonts w:hint="eastAsia"/>
          <w:b/>
          <w:sz w:val="30"/>
          <w:szCs w:val="30"/>
        </w:rPr>
        <w:t>响应报价表</w:t>
      </w:r>
    </w:p>
    <w:p>
      <w:pPr>
        <w:jc w:val="center"/>
        <w:rPr>
          <w:sz w:val="28"/>
        </w:rPr>
      </w:pPr>
      <w:r>
        <w:rPr>
          <w:rFonts w:hint="eastAsia"/>
          <w:sz w:val="28"/>
        </w:rPr>
        <w:t>（最终报价）</w:t>
      </w:r>
    </w:p>
    <w:p>
      <w:pPr>
        <w:rPr>
          <w:sz w:val="28"/>
        </w:rPr>
      </w:pPr>
      <w:r>
        <w:rPr>
          <w:rFonts w:hint="eastAsia"/>
          <w:sz w:val="28"/>
        </w:rPr>
        <w:t>采购单位：</w:t>
      </w:r>
      <w:r>
        <w:rPr>
          <w:rFonts w:hint="eastAsia" w:ascii="宋体" w:hAnsi="宋体" w:cs="宋体"/>
          <w:color w:val="000000"/>
          <w:kern w:val="0"/>
          <w:sz w:val="28"/>
          <w:szCs w:val="28"/>
          <w:lang w:bidi="ar"/>
        </w:rPr>
        <w:t>黄石市</w:t>
      </w:r>
      <w:r>
        <w:rPr>
          <w:rFonts w:hint="eastAsia"/>
          <w:sz w:val="28"/>
          <w:szCs w:val="28"/>
        </w:rPr>
        <w:t>市中</w:t>
      </w:r>
      <w:r>
        <w:rPr>
          <w:rFonts w:hint="eastAsia"/>
          <w:sz w:val="28"/>
        </w:rPr>
        <w:t>心医院</w:t>
      </w:r>
    </w:p>
    <w:tbl>
      <w:tblPr>
        <w:tblStyle w:val="16"/>
        <w:tblW w:w="860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cr/>
            </w:r>
            <w:r>
              <w:rPr>
                <w:rFonts w:hint="eastAsia"/>
                <w:sz w:val="28"/>
              </w:rPr>
              <w:t>项目名称</w:t>
            </w:r>
          </w:p>
        </w:tc>
        <w:tc>
          <w:tcPr>
            <w:tcW w:w="6828" w:type="dxa"/>
            <w:vAlign w:val="center"/>
          </w:tcPr>
          <w:p>
            <w:pPr>
              <w:spacing w:line="400" w:lineRule="exact"/>
              <w:jc w:val="left"/>
              <w:rPr>
                <w:sz w:val="28"/>
              </w:rPr>
            </w:pPr>
            <w:r>
              <w:rPr>
                <w:rFonts w:hint="eastAsia" w:ascii="宋体" w:hAnsi="宋体" w:cs="宋体"/>
                <w:bCs/>
                <w:sz w:val="28"/>
                <w:szCs w:val="28"/>
              </w:rPr>
              <w:t>黄石</w:t>
            </w:r>
            <w:r>
              <w:rPr>
                <w:rFonts w:hint="eastAsia" w:ascii="宋体" w:hAnsi="宋体" w:cs="宋体"/>
                <w:bCs/>
                <w:sz w:val="28"/>
                <w:szCs w:val="28"/>
                <w:lang w:val="zh-CN"/>
              </w:rPr>
              <w:t>市中心医院</w:t>
            </w:r>
            <w:r>
              <w:rPr>
                <w:rFonts w:hint="eastAsia" w:ascii="宋体" w:hAnsi="宋体" w:cs="宋体"/>
                <w:bCs/>
                <w:sz w:val="28"/>
                <w:szCs w:val="28"/>
              </w:rPr>
              <w:t>（中心院区、普爱院区）病媒生物防治（灭“四害”）服务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项目编号</w:t>
            </w:r>
          </w:p>
        </w:tc>
        <w:tc>
          <w:tcPr>
            <w:tcW w:w="6828" w:type="dxa"/>
            <w:vAlign w:val="center"/>
          </w:tcPr>
          <w:p>
            <w:pPr>
              <w:spacing w:line="40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响应总报价</w:t>
            </w:r>
          </w:p>
        </w:tc>
        <w:tc>
          <w:tcPr>
            <w:tcW w:w="6828" w:type="dxa"/>
            <w:vAlign w:val="center"/>
          </w:tcPr>
          <w:p>
            <w:pPr>
              <w:jc w:val="left"/>
              <w:rPr>
                <w:sz w:val="28"/>
                <w:u w:val="single"/>
              </w:rPr>
            </w:pPr>
            <w:r>
              <w:rPr>
                <w:rFonts w:hint="eastAsia"/>
                <w:sz w:val="28"/>
              </w:rPr>
              <w:t>人民币（小写）：</w:t>
            </w:r>
            <w:r>
              <w:rPr>
                <w:rFonts w:hint="eastAsia"/>
                <w:sz w:val="28"/>
                <w:u w:val="single"/>
              </w:rPr>
              <w:t xml:space="preserve">                   </w:t>
            </w:r>
          </w:p>
          <w:p>
            <w:pPr>
              <w:jc w:val="left"/>
              <w:rPr>
                <w:sz w:val="28"/>
              </w:rPr>
            </w:pPr>
            <w:r>
              <w:rPr>
                <w:rFonts w:hint="eastAsia"/>
                <w:sz w:val="28"/>
              </w:rPr>
              <w:t>人民币（大写）：</w:t>
            </w:r>
            <w:r>
              <w:rPr>
                <w:rFonts w:hint="eastAsia"/>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p>
        </w:tc>
        <w:tc>
          <w:tcPr>
            <w:tcW w:w="6828" w:type="dxa"/>
            <w:vAlign w:val="center"/>
          </w:tcPr>
          <w:p>
            <w:pPr>
              <w:jc w:val="left"/>
              <w:rPr>
                <w:sz w:val="28"/>
                <w:u w:val="single"/>
              </w:rPr>
            </w:pPr>
          </w:p>
        </w:tc>
      </w:tr>
    </w:tbl>
    <w:p>
      <w:pPr>
        <w:spacing w:line="760" w:lineRule="exact"/>
        <w:rPr>
          <w:sz w:val="28"/>
        </w:rPr>
      </w:pPr>
      <w:r>
        <w:rPr>
          <w:rFonts w:hint="eastAsia"/>
          <w:sz w:val="28"/>
        </w:rPr>
        <w:t>投标人：</w:t>
      </w:r>
      <w:r>
        <w:rPr>
          <w:rFonts w:hint="eastAsia"/>
          <w:sz w:val="28"/>
          <w:u w:val="single"/>
        </w:rPr>
        <w:t xml:space="preserve">        </w:t>
      </w:r>
      <w:r>
        <w:rPr>
          <w:rFonts w:hint="eastAsia"/>
          <w:sz w:val="28"/>
        </w:rPr>
        <w:t>（公章）</w:t>
      </w:r>
    </w:p>
    <w:p>
      <w:pPr>
        <w:spacing w:line="760" w:lineRule="exact"/>
        <w:rPr>
          <w:sz w:val="28"/>
          <w:u w:val="single"/>
        </w:rPr>
      </w:pPr>
      <w:r>
        <w:rPr>
          <w:rFonts w:hint="eastAsia"/>
          <w:sz w:val="28"/>
        </w:rPr>
        <w:t>法定代表人或其授权代表人（签字或盖章）：</w:t>
      </w:r>
      <w:r>
        <w:rPr>
          <w:rFonts w:hint="eastAsia"/>
          <w:sz w:val="28"/>
          <w:u w:val="single"/>
        </w:rPr>
        <w:t xml:space="preserve">            </w:t>
      </w:r>
    </w:p>
    <w:p>
      <w:pPr>
        <w:spacing w:line="760" w:lineRule="exact"/>
        <w:rPr>
          <w:sz w:val="28"/>
        </w:rPr>
      </w:pPr>
      <w:r>
        <w:rPr>
          <w:rFonts w:hint="eastAsia"/>
          <w:sz w:val="28"/>
        </w:rPr>
        <w:t>日期：</w:t>
      </w:r>
    </w:p>
    <w:p>
      <w:pPr>
        <w:jc w:val="left"/>
        <w:rPr>
          <w:b/>
          <w:sz w:val="24"/>
        </w:rPr>
      </w:pPr>
      <w:r>
        <w:rPr>
          <w:rFonts w:hint="eastAsia"/>
          <w:b/>
          <w:sz w:val="24"/>
        </w:rPr>
        <w:t>注：1、响应报价总计为采购费用与其他费用的合成总计；包括服务引起的一切相关费用。</w:t>
      </w:r>
    </w:p>
    <w:p>
      <w:pPr>
        <w:spacing w:line="400" w:lineRule="exact"/>
        <w:jc w:val="left"/>
        <w:rPr>
          <w:b/>
          <w:sz w:val="24"/>
        </w:rPr>
      </w:pPr>
      <w:r>
        <w:rPr>
          <w:rFonts w:hint="eastAsia"/>
          <w:b/>
          <w:sz w:val="24"/>
        </w:rPr>
        <w:t>2、该表还应用纸信封单独密封，在投标截止时间以前单独递交。信封上应写明采购人名称、项目名称、谈判供应商名称。</w:t>
      </w:r>
    </w:p>
    <w:p>
      <w:pPr>
        <w:spacing w:line="400" w:lineRule="exact"/>
        <w:jc w:val="left"/>
        <w:rPr>
          <w:b/>
          <w:sz w:val="24"/>
        </w:rPr>
      </w:pPr>
      <w:r>
        <w:rPr>
          <w:rFonts w:hint="eastAsia"/>
          <w:b/>
          <w:sz w:val="24"/>
        </w:rPr>
        <w:t>3、开标一览表格式不得自行改动。</w:t>
      </w:r>
    </w:p>
    <w:p>
      <w:pPr>
        <w:spacing w:line="400" w:lineRule="exact"/>
        <w:rPr>
          <w:sz w:val="24"/>
        </w:rPr>
      </w:pPr>
      <w:r>
        <w:rPr>
          <w:rFonts w:hint="eastAsia"/>
          <w:b/>
          <w:sz w:val="24"/>
        </w:rPr>
        <w:t>4、该表供首次报价时使用，谈判供应商须按规定的格式填写，该表内填写的数据等内容须与谈判供应商的投标文件的内容相一致，否则，评标时以谈判供应商的投标文件的正本为准。</w:t>
      </w:r>
    </w:p>
    <w:p>
      <w:pPr>
        <w:spacing w:line="400" w:lineRule="exact"/>
        <w:jc w:val="center"/>
        <w:rPr>
          <w:b/>
          <w:sz w:val="36"/>
        </w:rPr>
      </w:pPr>
    </w:p>
    <w:p>
      <w:pPr>
        <w:jc w:val="center"/>
        <w:rPr>
          <w:sz w:val="28"/>
        </w:rPr>
      </w:pPr>
    </w:p>
    <w:p>
      <w:pPr>
        <w:jc w:val="center"/>
        <w:rPr>
          <w:sz w:val="28"/>
        </w:rPr>
      </w:pPr>
    </w:p>
    <w:p>
      <w:pPr>
        <w:pStyle w:val="21"/>
        <w:rPr>
          <w:b/>
          <w:sz w:val="36"/>
        </w:rPr>
      </w:pPr>
    </w:p>
    <w:p>
      <w:pPr>
        <w:pStyle w:val="21"/>
        <w:rPr>
          <w:b/>
          <w:sz w:val="36"/>
        </w:rPr>
      </w:pPr>
    </w:p>
    <w:p>
      <w:pPr>
        <w:pStyle w:val="21"/>
        <w:rPr>
          <w:b/>
          <w:sz w:val="36"/>
        </w:rPr>
      </w:pPr>
    </w:p>
    <w:p>
      <w:pPr>
        <w:pStyle w:val="21"/>
        <w:rPr>
          <w:b/>
          <w:sz w:val="36"/>
        </w:rPr>
      </w:pPr>
    </w:p>
    <w:p>
      <w:pPr>
        <w:rPr>
          <w:b/>
          <w:sz w:val="24"/>
          <w:szCs w:val="24"/>
        </w:rPr>
      </w:pPr>
    </w:p>
    <w:p>
      <w:pPr>
        <w:ind w:firstLine="1928" w:firstLineChars="800"/>
        <w:rPr>
          <w:b/>
          <w:sz w:val="24"/>
          <w:szCs w:val="24"/>
        </w:rPr>
      </w:pPr>
    </w:p>
    <w:p>
      <w:pPr>
        <w:ind w:firstLine="1928" w:firstLineChars="800"/>
        <w:rPr>
          <w:b/>
          <w:sz w:val="24"/>
          <w:szCs w:val="24"/>
        </w:rPr>
      </w:pPr>
    </w:p>
    <w:bookmarkEnd w:id="58"/>
    <w:bookmarkEnd w:id="59"/>
    <w:bookmarkEnd w:id="60"/>
    <w:bookmarkEnd w:id="61"/>
    <w:bookmarkEnd w:id="62"/>
    <w:bookmarkEnd w:id="63"/>
    <w:p>
      <w:pPr>
        <w:pStyle w:val="14"/>
        <w:spacing w:before="0" w:after="0" w:line="360" w:lineRule="auto"/>
      </w:pPr>
    </w:p>
    <w:sectPr>
      <w:footerReference r:id="rId8" w:type="default"/>
      <w:type w:val="continuous"/>
      <w:pgSz w:w="11907" w:h="16840"/>
      <w:pgMar w:top="1021" w:right="1247" w:bottom="1134" w:left="1644" w:header="907"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rPr>
      <w:t>16</w:t>
    </w:r>
    <w:r>
      <w:fldChar w:fldCharType="end"/>
    </w:r>
  </w:p>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W7l30AAAAAIBAAAPAAAAAAAAAAEAIAAAACIAAABkcnMvZG93bnJl&#10;di54bWxQSwECFAAUAAAACACHTuJAM+sPhswBAACWAwAADgAAAAAAAAABACAAAAAfAQAAZHJzL2Uy&#10;b0RvYy54bWxQSwUGAAAAAAYABgBZAQAAX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8D0E6"/>
    <w:multiLevelType w:val="singleLevel"/>
    <w:tmpl w:val="8E78D0E6"/>
    <w:lvl w:ilvl="0" w:tentative="0">
      <w:start w:val="1"/>
      <w:numFmt w:val="chineseCounting"/>
      <w:suff w:val="space"/>
      <w:lvlText w:val="第%1章"/>
      <w:lvlJc w:val="left"/>
      <w:pPr>
        <w:ind w:left="1546" w:firstLine="0"/>
      </w:pPr>
      <w:rPr>
        <w:rFonts w:hint="eastAsia"/>
      </w:rPr>
    </w:lvl>
  </w:abstractNum>
  <w:abstractNum w:abstractNumId="1">
    <w:nsid w:val="F958ED95"/>
    <w:multiLevelType w:val="singleLevel"/>
    <w:tmpl w:val="F958ED95"/>
    <w:lvl w:ilvl="0" w:tentative="0">
      <w:start w:val="1"/>
      <w:numFmt w:val="chineseCounting"/>
      <w:suff w:val="nothing"/>
      <w:lvlText w:val="%1、"/>
      <w:lvlJc w:val="left"/>
      <w:rPr>
        <w:rFonts w:hint="eastAsia"/>
      </w:rPr>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B4417F"/>
    <w:multiLevelType w:val="multilevel"/>
    <w:tmpl w:val="03B4417F"/>
    <w:lvl w:ilvl="0" w:tentative="0">
      <w:start w:val="1"/>
      <w:numFmt w:val="decimal"/>
      <w:pStyle w:val="2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rPr>
        <w:rFonts w:hint="default"/>
        <w:sz w:val="24"/>
        <w:szCs w:val="24"/>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35528EE1"/>
    <w:multiLevelType w:val="singleLevel"/>
    <w:tmpl w:val="35528EE1"/>
    <w:lvl w:ilvl="0" w:tentative="0">
      <w:start w:val="1"/>
      <w:numFmt w:val="chineseCounting"/>
      <w:suff w:val="nothing"/>
      <w:lvlText w:val="（%1）"/>
      <w:lvlJc w:val="left"/>
      <w:pPr>
        <w:ind w:left="210"/>
      </w:pPr>
      <w:rPr>
        <w:rFonts w:hint="eastAsia"/>
      </w:rPr>
    </w:lvl>
  </w:abstractNum>
  <w:abstractNum w:abstractNumId="6">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6674C7"/>
    <w:rsid w:val="001F4F08"/>
    <w:rsid w:val="003B381E"/>
    <w:rsid w:val="00567FE8"/>
    <w:rsid w:val="006674C7"/>
    <w:rsid w:val="00716542"/>
    <w:rsid w:val="00800362"/>
    <w:rsid w:val="008D30ED"/>
    <w:rsid w:val="008E6BD0"/>
    <w:rsid w:val="00A62B02"/>
    <w:rsid w:val="00DA2BCA"/>
    <w:rsid w:val="00EF2BFE"/>
    <w:rsid w:val="00F57439"/>
    <w:rsid w:val="00F929ED"/>
    <w:rsid w:val="04D70E27"/>
    <w:rsid w:val="08CB0CA3"/>
    <w:rsid w:val="09E0252C"/>
    <w:rsid w:val="0A424F95"/>
    <w:rsid w:val="0EBD108E"/>
    <w:rsid w:val="0EC164DD"/>
    <w:rsid w:val="16873D30"/>
    <w:rsid w:val="1997072D"/>
    <w:rsid w:val="19C87091"/>
    <w:rsid w:val="19E03E83"/>
    <w:rsid w:val="1B1077D6"/>
    <w:rsid w:val="1BD354C4"/>
    <w:rsid w:val="1CC41839"/>
    <w:rsid w:val="1D2B3667"/>
    <w:rsid w:val="1EF65EF6"/>
    <w:rsid w:val="220D77DF"/>
    <w:rsid w:val="22244B28"/>
    <w:rsid w:val="26007DC9"/>
    <w:rsid w:val="27090EBD"/>
    <w:rsid w:val="2B365FF8"/>
    <w:rsid w:val="2BD82C0B"/>
    <w:rsid w:val="4E21448E"/>
    <w:rsid w:val="56573737"/>
    <w:rsid w:val="614B38A4"/>
    <w:rsid w:val="616E1341"/>
    <w:rsid w:val="63EF49BB"/>
    <w:rsid w:val="68104F00"/>
    <w:rsid w:val="6A260A0B"/>
    <w:rsid w:val="6AAD4ECC"/>
    <w:rsid w:val="6B4F3F91"/>
    <w:rsid w:val="706C7393"/>
    <w:rsid w:val="75A648C4"/>
    <w:rsid w:val="78C7160B"/>
    <w:rsid w:val="78DE0702"/>
    <w:rsid w:val="79404F19"/>
    <w:rsid w:val="7ADD1468"/>
    <w:rsid w:val="7F76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line="520" w:lineRule="exact"/>
      <w:jc w:val="center"/>
      <w:outlineLvl w:val="1"/>
    </w:pPr>
    <w:rPr>
      <w:rFonts w:ascii="宋体" w:hAnsi="宋体"/>
      <w:b/>
      <w:bCs/>
      <w:sz w:val="24"/>
      <w:szCs w:val="24"/>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420" w:firstLineChars="200"/>
      <w:jc w:val="left"/>
    </w:pPr>
    <w:rPr>
      <w:rFonts w:ascii="仿宋" w:hAnsi="仿宋" w:eastAsia="仿宋"/>
      <w:sz w:val="20"/>
    </w:rPr>
  </w:style>
  <w:style w:type="paragraph" w:styleId="6">
    <w:name w:val="annotation text"/>
    <w:basedOn w:val="1"/>
    <w:link w:val="29"/>
    <w:semiHidden/>
    <w:qFormat/>
    <w:uiPriority w:val="99"/>
    <w:pPr>
      <w:jc w:val="left"/>
    </w:pPr>
    <w:rPr>
      <w:rFonts w:asciiTheme="minorHAnsi" w:hAnsiTheme="minorHAnsi" w:eastAsiaTheme="minorEastAsia" w:cstheme="minorBidi"/>
      <w:szCs w:val="24"/>
    </w:rPr>
  </w:style>
  <w:style w:type="paragraph" w:styleId="7">
    <w:name w:val="Body Text"/>
    <w:basedOn w:val="1"/>
    <w:link w:val="28"/>
    <w:qFormat/>
    <w:uiPriority w:val="0"/>
    <w:rPr>
      <w:rFonts w:asciiTheme="minorHAnsi" w:hAnsiTheme="minorHAnsi" w:eastAsiaTheme="minorEastAsia" w:cstheme="minorBidi"/>
      <w:sz w:val="24"/>
      <w:szCs w:val="24"/>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8"/>
    <w:unhideWhenUsed/>
    <w:qFormat/>
    <w:uiPriority w:val="99"/>
    <w:pPr>
      <w:ind w:firstLine="420" w:firstLineChars="200"/>
    </w:pPr>
  </w:style>
  <w:style w:type="paragraph" w:styleId="10">
    <w:name w:val="Plain Text"/>
    <w:basedOn w:val="1"/>
    <w:link w:val="32"/>
    <w:qFormat/>
    <w:uiPriority w:val="0"/>
    <w:rPr>
      <w:rFonts w:ascii="宋体" w:hAnsi="Courier New"/>
      <w:kern w:val="10"/>
      <w:szCs w:val="21"/>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kern w:val="0"/>
      <w:sz w:val="22"/>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qFormat/>
    <w:uiPriority w:val="0"/>
  </w:style>
  <w:style w:type="paragraph" w:customStyle="1" w:styleId="20">
    <w:name w:val="目录 72"/>
    <w:next w:val="1"/>
    <w:qFormat/>
    <w:uiPriority w:val="0"/>
    <w:pPr>
      <w:wordWrap w:val="0"/>
      <w:ind w:left="2125"/>
      <w:jc w:val="both"/>
    </w:pPr>
    <w:rPr>
      <w:rFonts w:ascii="Calibri" w:hAnsi="Calibri" w:eastAsia="宋体" w:cs="Times New Roman"/>
      <w:sz w:val="21"/>
      <w:lang w:val="en-US" w:eastAsia="zh-CN" w:bidi="ar-SA"/>
    </w:rPr>
  </w:style>
  <w:style w:type="paragraph" w:customStyle="1" w:styleId="21">
    <w:name w:val="无间隔1"/>
    <w:qFormat/>
    <w:uiPriority w:val="0"/>
    <w:pPr>
      <w:widowControl w:val="0"/>
      <w:jc w:val="both"/>
    </w:pPr>
    <w:rPr>
      <w:rFonts w:ascii="等线" w:hAnsi="等线" w:eastAsia="等线" w:cs="Times New Roman"/>
      <w:kern w:val="2"/>
      <w:sz w:val="21"/>
      <w:szCs w:val="24"/>
      <w:lang w:val="en-US" w:eastAsia="zh-CN" w:bidi="ar-SA"/>
    </w:rPr>
  </w:style>
  <w:style w:type="character" w:customStyle="1" w:styleId="22">
    <w:name w:val="页眉 字符"/>
    <w:basedOn w:val="18"/>
    <w:link w:val="12"/>
    <w:qFormat/>
    <w:uiPriority w:val="99"/>
    <w:rPr>
      <w:sz w:val="18"/>
      <w:szCs w:val="18"/>
    </w:rPr>
  </w:style>
  <w:style w:type="character" w:customStyle="1" w:styleId="23">
    <w:name w:val="页脚 字符"/>
    <w:basedOn w:val="18"/>
    <w:link w:val="11"/>
    <w:qFormat/>
    <w:uiPriority w:val="99"/>
    <w:rPr>
      <w:sz w:val="18"/>
      <w:szCs w:val="18"/>
    </w:rPr>
  </w:style>
  <w:style w:type="character" w:customStyle="1" w:styleId="24">
    <w:name w:val="标题 2 字符"/>
    <w:basedOn w:val="18"/>
    <w:link w:val="3"/>
    <w:qFormat/>
    <w:uiPriority w:val="0"/>
    <w:rPr>
      <w:rFonts w:ascii="宋体" w:hAnsi="宋体" w:eastAsia="宋体" w:cs="Times New Roman"/>
      <w:b/>
      <w:bCs/>
      <w:sz w:val="24"/>
      <w:szCs w:val="24"/>
    </w:rPr>
  </w:style>
  <w:style w:type="paragraph" w:customStyle="1" w:styleId="25">
    <w:name w:val="样式1"/>
    <w:basedOn w:val="4"/>
    <w:qFormat/>
    <w:uiPriority w:val="0"/>
    <w:pPr>
      <w:numPr>
        <w:ilvl w:val="0"/>
        <w:numId w:val="1"/>
      </w:numPr>
      <w:tabs>
        <w:tab w:val="left" w:pos="360"/>
        <w:tab w:val="left" w:pos="1134"/>
      </w:tabs>
      <w:spacing w:before="120" w:after="120" w:line="560" w:lineRule="exact"/>
      <w:ind w:left="0" w:firstLine="0"/>
    </w:pPr>
    <w:rPr>
      <w:rFonts w:ascii="宋体" w:hAnsi="宋体" w:cs="Arial"/>
      <w:kern w:val="0"/>
      <w:sz w:val="24"/>
    </w:rPr>
  </w:style>
  <w:style w:type="character" w:customStyle="1" w:styleId="26">
    <w:name w:val="标题 3 字符"/>
    <w:basedOn w:val="18"/>
    <w:link w:val="4"/>
    <w:semiHidden/>
    <w:qFormat/>
    <w:uiPriority w:val="9"/>
    <w:rPr>
      <w:rFonts w:ascii="Times New Roman" w:hAnsi="Times New Roman" w:eastAsia="宋体" w:cs="Times New Roman"/>
      <w:b/>
      <w:bCs/>
      <w:sz w:val="32"/>
      <w:szCs w:val="32"/>
    </w:rPr>
  </w:style>
  <w:style w:type="character" w:customStyle="1" w:styleId="27">
    <w:name w:val="标题 1 字符"/>
    <w:basedOn w:val="18"/>
    <w:link w:val="2"/>
    <w:qFormat/>
    <w:uiPriority w:val="9"/>
    <w:rPr>
      <w:rFonts w:ascii="Times New Roman" w:hAnsi="Times New Roman" w:eastAsia="宋体" w:cs="Times New Roman"/>
      <w:b/>
      <w:bCs/>
      <w:kern w:val="44"/>
      <w:sz w:val="44"/>
      <w:szCs w:val="44"/>
    </w:rPr>
  </w:style>
  <w:style w:type="character" w:customStyle="1" w:styleId="28">
    <w:name w:val="正文文本 字符"/>
    <w:link w:val="7"/>
    <w:qFormat/>
    <w:uiPriority w:val="0"/>
    <w:rPr>
      <w:sz w:val="24"/>
      <w:szCs w:val="24"/>
    </w:rPr>
  </w:style>
  <w:style w:type="character" w:customStyle="1" w:styleId="29">
    <w:name w:val="批注文字 字符"/>
    <w:link w:val="6"/>
    <w:semiHidden/>
    <w:qFormat/>
    <w:uiPriority w:val="99"/>
    <w:rPr>
      <w:szCs w:val="24"/>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Paragraph"/>
    <w:basedOn w:val="1"/>
    <w:qFormat/>
    <w:uiPriority w:val="1"/>
    <w:pPr>
      <w:jc w:val="left"/>
    </w:pPr>
    <w:rPr>
      <w:rFonts w:ascii="Calibri" w:hAnsi="Calibri"/>
      <w:kern w:val="0"/>
      <w:sz w:val="22"/>
      <w:szCs w:val="22"/>
      <w:lang w:eastAsia="en-US"/>
    </w:rPr>
  </w:style>
  <w:style w:type="character" w:customStyle="1" w:styleId="32">
    <w:name w:val="纯文本 字符"/>
    <w:basedOn w:val="18"/>
    <w:link w:val="10"/>
    <w:qFormat/>
    <w:uiPriority w:val="0"/>
    <w:rPr>
      <w:rFonts w:ascii="宋体" w:hAnsi="Courier New" w:eastAsia="宋体" w:cs="Times New Roman"/>
      <w:kern w:val="10"/>
      <w:szCs w:val="21"/>
    </w:rPr>
  </w:style>
  <w:style w:type="character" w:customStyle="1" w:styleId="33">
    <w:name w:val="批注文字 字符1"/>
    <w:basedOn w:val="18"/>
    <w:semiHidden/>
    <w:qFormat/>
    <w:uiPriority w:val="99"/>
    <w:rPr>
      <w:rFonts w:ascii="Times New Roman" w:hAnsi="Times New Roman" w:eastAsia="宋体" w:cs="Times New Roman"/>
      <w:szCs w:val="20"/>
    </w:rPr>
  </w:style>
  <w:style w:type="character" w:customStyle="1" w:styleId="34">
    <w:name w:val="正文文本 字符1"/>
    <w:basedOn w:val="18"/>
    <w:semiHidden/>
    <w:qFormat/>
    <w:uiPriority w:val="99"/>
    <w:rPr>
      <w:rFonts w:ascii="Times New Roman" w:hAnsi="Times New Roman" w:eastAsia="宋体" w:cs="Times New Roman"/>
      <w:szCs w:val="20"/>
    </w:rPr>
  </w:style>
  <w:style w:type="character" w:customStyle="1" w:styleId="35">
    <w:name w:val="font71"/>
    <w:basedOn w:val="18"/>
    <w:qFormat/>
    <w:uiPriority w:val="0"/>
    <w:rPr>
      <w:rFonts w:hint="eastAsia" w:ascii="宋体" w:hAnsi="宋体" w:eastAsia="宋体" w:cs="宋体"/>
      <w:color w:val="000000"/>
      <w:sz w:val="22"/>
      <w:szCs w:val="22"/>
      <w:u w:val="none"/>
    </w:rPr>
  </w:style>
  <w:style w:type="character" w:customStyle="1" w:styleId="36">
    <w:name w:val="font21"/>
    <w:basedOn w:val="18"/>
    <w:qFormat/>
    <w:uiPriority w:val="0"/>
    <w:rPr>
      <w:rFonts w:hint="eastAsia" w:ascii="宋体" w:hAnsi="宋体" w:eastAsia="宋体" w:cs="宋体"/>
      <w:b/>
      <w:bCs/>
      <w:color w:val="000000"/>
      <w:sz w:val="22"/>
      <w:szCs w:val="22"/>
      <w:u w:val="none"/>
    </w:rPr>
  </w:style>
  <w:style w:type="character" w:customStyle="1" w:styleId="37">
    <w:name w:val="font31"/>
    <w:basedOn w:val="18"/>
    <w:qFormat/>
    <w:uiPriority w:val="0"/>
    <w:rPr>
      <w:rFonts w:ascii="宋体" w:hAnsi="宋体" w:eastAsia="宋体" w:cs="宋体"/>
      <w:b/>
      <w:bCs/>
      <w:color w:val="000000"/>
      <w:sz w:val="22"/>
      <w:szCs w:val="22"/>
      <w:u w:val="none"/>
    </w:rPr>
  </w:style>
  <w:style w:type="paragraph" w:customStyle="1" w:styleId="38">
    <w:name w:val="纯文本_0"/>
    <w:basedOn w:val="39"/>
    <w:qFormat/>
    <w:uiPriority w:val="0"/>
    <w:pPr>
      <w:jc w:val="left"/>
    </w:pPr>
    <w:rPr>
      <w:rFonts w:ascii="宋体" w:hAnsi="Courier New" w:eastAsia="等线"/>
      <w:szCs w:val="21"/>
    </w:rPr>
  </w:style>
  <w:style w:type="paragraph" w:customStyle="1" w:styleId="3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2504</Words>
  <Characters>14279</Characters>
  <Lines>118</Lines>
  <Paragraphs>33</Paragraphs>
  <TotalTime>51</TotalTime>
  <ScaleCrop>false</ScaleCrop>
  <LinksUpToDate>false</LinksUpToDate>
  <CharactersWithSpaces>16750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2020-08-27T10:28:00Z</dcterms:created>
  <dc:creator>Administrator</dc:creator>
  <cp:lastModifiedBy>Administrator</cp:lastModifiedBy>
  <cp:lastPrinted>2023-12-14T03:21:00Z</cp:lastPrinted>
  <dcterms:modified xsi:type="dcterms:W3CDTF">2023-12-14T03:22:23Z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ABA58E2DD3994000AD7F95C1066A2C55_13</vt:lpwstr>
  </property>
</Properties>
</file>