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Cs w:val="21"/>
        </w:rPr>
      </w:pPr>
    </w:p>
    <w:p>
      <w:pPr>
        <w:pStyle w:val="12"/>
        <w:rPr>
          <w:szCs w:val="21"/>
        </w:rPr>
      </w:pPr>
    </w:p>
    <w:p>
      <w:pPr>
        <w:pStyle w:val="12"/>
        <w:rPr>
          <w:szCs w:val="21"/>
        </w:rPr>
      </w:pPr>
    </w:p>
    <w:p>
      <w:pPr>
        <w:pStyle w:val="12"/>
        <w:rPr>
          <w:bCs/>
          <w:kern w:val="44"/>
          <w:szCs w:val="21"/>
          <w:lang w:val="zh-CN"/>
        </w:rPr>
      </w:pPr>
    </w:p>
    <w:p>
      <w:pPr>
        <w:pStyle w:val="12"/>
        <w:rPr>
          <w:bCs/>
          <w:kern w:val="44"/>
          <w:sz w:val="28"/>
          <w:szCs w:val="28"/>
          <w:lang w:val="zh-CN"/>
        </w:rPr>
      </w:pPr>
    </w:p>
    <w:p>
      <w:pPr>
        <w:jc w:val="center"/>
        <w:rPr>
          <w:b/>
          <w:sz w:val="52"/>
          <w:szCs w:val="52"/>
        </w:rPr>
      </w:pPr>
      <w:r>
        <w:rPr>
          <w:rFonts w:hint="eastAsia"/>
          <w:b/>
          <w:sz w:val="52"/>
          <w:szCs w:val="52"/>
        </w:rPr>
        <w:t>竞争性磋商采购文件</w:t>
      </w:r>
    </w:p>
    <w:p>
      <w:pPr>
        <w:pStyle w:val="12"/>
        <w:rPr>
          <w:sz w:val="52"/>
          <w:szCs w:val="52"/>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autoSpaceDE w:val="0"/>
        <w:autoSpaceDN w:val="0"/>
        <w:adjustRightInd w:val="0"/>
        <w:ind w:left="1825" w:leftChars="200" w:hanging="1405" w:hangingChars="500"/>
        <w:rPr>
          <w:sz w:val="28"/>
          <w:szCs w:val="28"/>
          <w:u w:val="single"/>
        </w:rPr>
      </w:pPr>
      <w:r>
        <w:rPr>
          <w:rFonts w:hint="eastAsia"/>
          <w:b/>
          <w:sz w:val="28"/>
          <w:szCs w:val="28"/>
        </w:rPr>
        <w:t>项目名称：</w:t>
      </w:r>
      <w:r>
        <w:rPr>
          <w:rFonts w:hint="eastAsia"/>
          <w:sz w:val="28"/>
          <w:szCs w:val="28"/>
          <w:u w:val="single"/>
        </w:rPr>
        <w:t>黄石市中心医院CCU及心内科智慧病房维保服务项目</w:t>
      </w:r>
    </w:p>
    <w:p>
      <w:pPr>
        <w:autoSpaceDE w:val="0"/>
        <w:autoSpaceDN w:val="0"/>
        <w:adjustRightInd w:val="0"/>
        <w:ind w:left="1825" w:leftChars="200" w:hanging="1405" w:hangingChars="500"/>
        <w:rPr>
          <w:b/>
          <w:sz w:val="28"/>
          <w:szCs w:val="28"/>
        </w:rPr>
      </w:pPr>
      <w:r>
        <w:rPr>
          <w:rFonts w:hint="eastAsia"/>
          <w:b/>
          <w:sz w:val="28"/>
          <w:szCs w:val="28"/>
        </w:rPr>
        <w:t>采购内容</w:t>
      </w:r>
      <w:r>
        <w:rPr>
          <w:rFonts w:hint="eastAsia"/>
          <w:sz w:val="28"/>
          <w:szCs w:val="28"/>
          <w:u w:val="single"/>
        </w:rPr>
        <w:t xml:space="preserve">：负责黄石市中心医院CCU及心内科智慧病房服务采购项目，具体见采购文件第四章“采购需求”           </w:t>
      </w:r>
      <w:r>
        <w:rPr>
          <w:rFonts w:hint="eastAsia"/>
          <w:b/>
          <w:sz w:val="28"/>
          <w:szCs w:val="28"/>
          <w:u w:val="single"/>
        </w:rPr>
        <w:t xml:space="preserve">                      </w:t>
      </w:r>
    </w:p>
    <w:p>
      <w:pPr>
        <w:snapToGrid w:val="0"/>
        <w:ind w:firstLine="562"/>
        <w:rPr>
          <w:b/>
          <w:sz w:val="28"/>
          <w:szCs w:val="28"/>
          <w:u w:val="single"/>
        </w:rPr>
      </w:pPr>
      <w:r>
        <w:rPr>
          <w:rFonts w:hint="eastAsia"/>
          <w:b/>
          <w:sz w:val="28"/>
          <w:szCs w:val="28"/>
        </w:rPr>
        <w:t>采 购 人：</w:t>
      </w:r>
      <w:r>
        <w:rPr>
          <w:rFonts w:hint="eastAsia"/>
          <w:sz w:val="28"/>
          <w:szCs w:val="28"/>
          <w:u w:val="single"/>
        </w:rPr>
        <w:t xml:space="preserve">  黄石市中心医院          </w:t>
      </w:r>
    </w:p>
    <w:p>
      <w:pPr>
        <w:pStyle w:val="12"/>
        <w:rPr>
          <w:sz w:val="28"/>
          <w:szCs w:val="28"/>
        </w:rPr>
      </w:pPr>
    </w:p>
    <w:p>
      <w:pPr>
        <w:snapToGrid w:val="0"/>
        <w:jc w:val="center"/>
        <w:rPr>
          <w:rFonts w:cs="Arial"/>
          <w:b/>
          <w:szCs w:val="21"/>
        </w:rPr>
      </w:pPr>
    </w:p>
    <w:p>
      <w:pPr>
        <w:pStyle w:val="7"/>
        <w:jc w:val="both"/>
        <w:rPr>
          <w:rFonts w:ascii="仿宋" w:hAnsi="仿宋"/>
          <w:sz w:val="21"/>
          <w:szCs w:val="21"/>
        </w:rPr>
      </w:pPr>
      <w:bookmarkStart w:id="0" w:name="_Toc53557928"/>
      <w:r>
        <w:rPr>
          <w:rFonts w:ascii="仿宋" w:hAnsi="仿宋"/>
          <w:sz w:val="21"/>
          <w:szCs w:val="21"/>
        </w:rPr>
        <w:br w:type="page"/>
      </w:r>
      <w:bookmarkStart w:id="1" w:name="_Toc61508195"/>
      <w:r>
        <w:rPr>
          <w:rFonts w:hint="eastAsia" w:ascii="仿宋" w:hAnsi="仿宋"/>
          <w:sz w:val="21"/>
          <w:szCs w:val="21"/>
        </w:rPr>
        <w:t xml:space="preserve">                  </w:t>
      </w:r>
      <w:r>
        <w:rPr>
          <w:rFonts w:hint="eastAsia" w:ascii="仿宋" w:hAnsi="仿宋"/>
          <w:sz w:val="30"/>
          <w:szCs w:val="30"/>
        </w:rPr>
        <w:t xml:space="preserve"> 第一章  竞争性磋商采购邀请函</w:t>
      </w:r>
      <w:bookmarkEnd w:id="0"/>
      <w:bookmarkEnd w:id="1"/>
    </w:p>
    <w:p>
      <w:pPr>
        <w:ind w:firstLine="480"/>
        <w:rPr>
          <w:szCs w:val="21"/>
          <w:lang w:val="zh-CN"/>
        </w:rPr>
      </w:pPr>
      <w:r>
        <w:rPr>
          <w:rFonts w:hint="eastAsia"/>
          <w:szCs w:val="21"/>
          <w:lang w:val="zh-CN"/>
        </w:rPr>
        <w:t>供应商：</w:t>
      </w:r>
    </w:p>
    <w:p>
      <w:pPr>
        <w:autoSpaceDE w:val="0"/>
        <w:autoSpaceDN w:val="0"/>
        <w:adjustRightInd w:val="0"/>
        <w:ind w:firstLine="420" w:firstLineChars="200"/>
        <w:jc w:val="left"/>
        <w:rPr>
          <w:szCs w:val="21"/>
        </w:rPr>
      </w:pPr>
      <w:r>
        <w:rPr>
          <w:rFonts w:hint="eastAsia"/>
          <w:szCs w:val="21"/>
        </w:rPr>
        <w:t>黄石市中心医院</w:t>
      </w:r>
      <w:r>
        <w:rPr>
          <w:rFonts w:hint="eastAsia"/>
          <w:szCs w:val="21"/>
          <w:lang w:val="zh-CN"/>
        </w:rPr>
        <w:t>（以下简称“采购人”）</w:t>
      </w:r>
      <w:r>
        <w:rPr>
          <w:rFonts w:hint="eastAsia"/>
          <w:szCs w:val="21"/>
        </w:rPr>
        <w:t>拟采购CCU及心内科智慧维保服务项目，进行</w:t>
      </w:r>
      <w:r>
        <w:rPr>
          <w:rFonts w:hint="eastAsia"/>
          <w:szCs w:val="21"/>
          <w:lang w:val="zh-CN"/>
        </w:rPr>
        <w:t>竞争性磋商采购，现</w:t>
      </w:r>
      <w:r>
        <w:rPr>
          <w:rFonts w:hint="eastAsia"/>
          <w:szCs w:val="21"/>
        </w:rPr>
        <w:t>邀请贵公司作为本次竞争性磋商谈判的供应商。具体内容如下：</w:t>
      </w:r>
    </w:p>
    <w:p>
      <w:pPr>
        <w:autoSpaceDE w:val="0"/>
        <w:autoSpaceDN w:val="0"/>
        <w:adjustRightInd w:val="0"/>
        <w:ind w:firstLine="482"/>
        <w:rPr>
          <w:b/>
          <w:szCs w:val="21"/>
          <w:lang w:val="zh-CN"/>
        </w:rPr>
      </w:pPr>
      <w:r>
        <w:rPr>
          <w:rFonts w:hint="eastAsia"/>
          <w:b/>
          <w:szCs w:val="21"/>
          <w:lang w:val="zh-CN"/>
        </w:rPr>
        <w:t>一、项目概况</w:t>
      </w:r>
    </w:p>
    <w:p>
      <w:pPr>
        <w:autoSpaceDE w:val="0"/>
        <w:autoSpaceDN w:val="0"/>
        <w:adjustRightInd w:val="0"/>
        <w:rPr>
          <w:b/>
          <w:szCs w:val="21"/>
          <w:lang w:val="zh-CN"/>
        </w:rPr>
      </w:pPr>
      <w:r>
        <w:rPr>
          <w:rFonts w:hint="eastAsia"/>
          <w:b/>
          <w:szCs w:val="21"/>
          <w:lang w:val="zh-CN"/>
        </w:rPr>
        <w:t>一、项目概况</w:t>
      </w:r>
    </w:p>
    <w:p>
      <w:pPr>
        <w:autoSpaceDE w:val="0"/>
        <w:autoSpaceDN w:val="0"/>
        <w:adjustRightInd w:val="0"/>
        <w:ind w:left="1470" w:leftChars="200" w:hanging="1050" w:hangingChars="500"/>
        <w:rPr>
          <w:szCs w:val="21"/>
        </w:rPr>
      </w:pPr>
      <w:r>
        <w:rPr>
          <w:rFonts w:hint="eastAsia"/>
          <w:szCs w:val="21"/>
          <w:lang w:val="zh-CN"/>
        </w:rPr>
        <w:t>项目名称：</w:t>
      </w:r>
      <w:r>
        <w:rPr>
          <w:rFonts w:hint="eastAsia"/>
          <w:szCs w:val="21"/>
        </w:rPr>
        <w:t>黄石市中心医院CCU及心内科智慧病房维保服务项目</w:t>
      </w:r>
    </w:p>
    <w:p>
      <w:pPr>
        <w:autoSpaceDE w:val="0"/>
        <w:autoSpaceDN w:val="0"/>
        <w:adjustRightInd w:val="0"/>
        <w:ind w:firstLine="480"/>
        <w:rPr>
          <w:szCs w:val="21"/>
        </w:rPr>
      </w:pPr>
      <w:r>
        <w:rPr>
          <w:rFonts w:hint="eastAsia"/>
          <w:szCs w:val="21"/>
          <w:lang w:val="zh-CN"/>
        </w:rPr>
        <w:t>采购方式：竞争性磋商采购</w:t>
      </w:r>
    </w:p>
    <w:p>
      <w:pPr>
        <w:autoSpaceDE w:val="0"/>
        <w:autoSpaceDN w:val="0"/>
        <w:adjustRightInd w:val="0"/>
        <w:ind w:firstLine="480"/>
        <w:rPr>
          <w:szCs w:val="21"/>
        </w:rPr>
      </w:pPr>
      <w:r>
        <w:rPr>
          <w:rFonts w:hint="eastAsia"/>
          <w:szCs w:val="21"/>
          <w:lang w:val="zh-CN"/>
        </w:rPr>
        <w:t>项目预算：</w:t>
      </w:r>
      <w:r>
        <w:rPr>
          <w:szCs w:val="21"/>
        </w:rPr>
        <w:t>5</w:t>
      </w:r>
      <w:r>
        <w:rPr>
          <w:rFonts w:hint="eastAsia"/>
          <w:szCs w:val="21"/>
        </w:rPr>
        <w:t>万元</w:t>
      </w:r>
    </w:p>
    <w:p>
      <w:pPr>
        <w:autoSpaceDE w:val="0"/>
        <w:autoSpaceDN w:val="0"/>
        <w:adjustRightInd w:val="0"/>
        <w:ind w:firstLine="480"/>
        <w:rPr>
          <w:b/>
          <w:szCs w:val="21"/>
        </w:rPr>
      </w:pPr>
      <w:r>
        <w:rPr>
          <w:rFonts w:hint="eastAsia"/>
          <w:szCs w:val="21"/>
        </w:rPr>
        <w:t>服务期</w:t>
      </w:r>
      <w:r>
        <w:rPr>
          <w:rFonts w:hint="eastAsia"/>
          <w:szCs w:val="21"/>
          <w:lang w:val="zh-CN"/>
        </w:rPr>
        <w:t>：</w:t>
      </w:r>
      <w:r>
        <w:rPr>
          <w:rFonts w:hint="eastAsia"/>
          <w:szCs w:val="21"/>
        </w:rPr>
        <w:t xml:space="preserve"> </w:t>
      </w:r>
      <w:r>
        <w:rPr>
          <w:szCs w:val="21"/>
        </w:rPr>
        <w:t>1</w:t>
      </w:r>
      <w:r>
        <w:rPr>
          <w:rFonts w:hint="eastAsia"/>
          <w:szCs w:val="21"/>
          <w:lang w:val="zh-CN"/>
        </w:rPr>
        <w:t>年</w:t>
      </w:r>
    </w:p>
    <w:p>
      <w:pPr>
        <w:autoSpaceDE w:val="0"/>
        <w:autoSpaceDN w:val="0"/>
        <w:adjustRightInd w:val="0"/>
        <w:ind w:firstLine="480"/>
        <w:rPr>
          <w:szCs w:val="21"/>
          <w:lang w:val="zh-CN"/>
        </w:rPr>
      </w:pPr>
      <w:r>
        <w:rPr>
          <w:rFonts w:hint="eastAsia"/>
          <w:szCs w:val="21"/>
        </w:rPr>
        <w:t>采购内容：</w:t>
      </w:r>
      <w:r>
        <w:rPr>
          <w:rFonts w:hint="eastAsia"/>
          <w:szCs w:val="21"/>
          <w:lang w:val="zh-CN"/>
        </w:rPr>
        <w:t>负责黄石市中心医院</w:t>
      </w:r>
      <w:r>
        <w:rPr>
          <w:rFonts w:hint="eastAsia"/>
          <w:szCs w:val="21"/>
        </w:rPr>
        <w:t>CCU及心内科智慧病房维保服</w:t>
      </w:r>
      <w:r>
        <w:rPr>
          <w:rFonts w:hint="eastAsia"/>
          <w:szCs w:val="21"/>
          <w:lang w:val="zh-CN"/>
        </w:rPr>
        <w:t>项目，具体见采购文件第四章“采购需求”。</w:t>
      </w:r>
    </w:p>
    <w:p>
      <w:pPr>
        <w:autoSpaceDE w:val="0"/>
        <w:autoSpaceDN w:val="0"/>
        <w:adjustRightInd w:val="0"/>
        <w:ind w:firstLine="480"/>
        <w:rPr>
          <w:szCs w:val="21"/>
          <w:lang w:val="zh-CN"/>
        </w:rPr>
      </w:pPr>
      <w:r>
        <w:rPr>
          <w:rFonts w:hint="eastAsia"/>
          <w:szCs w:val="21"/>
          <w:lang w:val="zh-CN"/>
        </w:rPr>
        <w:t>二、供应商资格要求</w:t>
      </w:r>
    </w:p>
    <w:p>
      <w:pPr>
        <w:ind w:firstLine="480"/>
        <w:rPr>
          <w:szCs w:val="21"/>
        </w:rPr>
      </w:pPr>
      <w:r>
        <w:rPr>
          <w:szCs w:val="21"/>
        </w:rPr>
        <w:t>1</w:t>
      </w:r>
      <w:r>
        <w:rPr>
          <w:rFonts w:hint="eastAsia"/>
          <w:szCs w:val="21"/>
        </w:rPr>
        <w:t>、</w:t>
      </w:r>
      <w:r>
        <w:rPr>
          <w:rFonts w:hint="eastAsia"/>
          <w:szCs w:val="21"/>
          <w:lang w:val="zh-CN"/>
        </w:rPr>
        <w:t>具有有效的企业营业执照、税务登记证、组织机构代码证（已办理三证合一的只需提供营业执照），</w:t>
      </w:r>
      <w:r>
        <w:rPr>
          <w:rFonts w:hint="eastAsia"/>
          <w:szCs w:val="21"/>
        </w:rPr>
        <w:t>且为非外资独资或外资控股企业</w:t>
      </w:r>
      <w:r>
        <w:rPr>
          <w:rFonts w:hint="eastAsia"/>
          <w:szCs w:val="21"/>
          <w:lang w:val="zh-CN"/>
        </w:rPr>
        <w:t>；</w:t>
      </w:r>
    </w:p>
    <w:p>
      <w:pPr>
        <w:ind w:firstLine="480"/>
        <w:rPr>
          <w:szCs w:val="21"/>
        </w:rPr>
      </w:pPr>
      <w:r>
        <w:rPr>
          <w:szCs w:val="21"/>
        </w:rPr>
        <w:t>2</w:t>
      </w:r>
      <w:r>
        <w:rPr>
          <w:rFonts w:hint="eastAsia"/>
          <w:szCs w:val="21"/>
        </w:rPr>
        <w:t>、具有良好的商业信誉和健全的财务会计制度；</w:t>
      </w:r>
    </w:p>
    <w:p>
      <w:pPr>
        <w:ind w:firstLine="480"/>
        <w:rPr>
          <w:szCs w:val="21"/>
        </w:rPr>
      </w:pPr>
      <w:r>
        <w:rPr>
          <w:rFonts w:hint="eastAsia"/>
          <w:szCs w:val="21"/>
        </w:rPr>
        <w:t>3、具有履行合同所必需的设备和专业技术能力</w:t>
      </w:r>
    </w:p>
    <w:p>
      <w:pPr>
        <w:ind w:firstLine="480"/>
        <w:rPr>
          <w:szCs w:val="21"/>
        </w:rPr>
      </w:pPr>
      <w:r>
        <w:rPr>
          <w:szCs w:val="21"/>
        </w:rPr>
        <w:t>4</w:t>
      </w:r>
      <w:r>
        <w:rPr>
          <w:rFonts w:hint="eastAsia"/>
          <w:szCs w:val="21"/>
        </w:rPr>
        <w:t>、有依法缴纳税收和社会保障资金的良好记录；</w:t>
      </w:r>
    </w:p>
    <w:p>
      <w:pPr>
        <w:ind w:firstLine="480"/>
        <w:rPr>
          <w:szCs w:val="21"/>
        </w:rPr>
      </w:pPr>
      <w:r>
        <w:rPr>
          <w:szCs w:val="21"/>
        </w:rPr>
        <w:t>5</w:t>
      </w:r>
      <w:r>
        <w:rPr>
          <w:rFonts w:hint="eastAsia"/>
          <w:szCs w:val="21"/>
        </w:rPr>
        <w:t>、参加采购活动前三年内，在经营活动中没有重大违法记录；</w:t>
      </w:r>
    </w:p>
    <w:p>
      <w:pPr>
        <w:ind w:firstLine="480"/>
        <w:rPr>
          <w:szCs w:val="21"/>
        </w:rPr>
      </w:pPr>
      <w:r>
        <w:rPr>
          <w:szCs w:val="21"/>
        </w:rPr>
        <w:t>6</w:t>
      </w:r>
      <w:r>
        <w:rPr>
          <w:rFonts w:hint="eastAsia"/>
          <w:szCs w:val="21"/>
        </w:rPr>
        <w:t>、</w:t>
      </w:r>
      <w:r>
        <w:rPr>
          <w:rFonts w:hint="eastAsia"/>
          <w:szCs w:val="21"/>
          <w:lang w:val="zh-CN"/>
        </w:rPr>
        <w:t>未被列入</w:t>
      </w:r>
      <w:r>
        <w:rPr>
          <w:rFonts w:hint="eastAsia"/>
          <w:szCs w:val="21"/>
        </w:rPr>
        <w:t>“</w:t>
      </w:r>
      <w:r>
        <w:rPr>
          <w:rFonts w:hint="eastAsia"/>
          <w:szCs w:val="21"/>
          <w:lang w:val="zh-CN"/>
        </w:rPr>
        <w:t>信用中国</w:t>
      </w:r>
      <w:r>
        <w:rPr>
          <w:rFonts w:hint="eastAsia"/>
          <w:szCs w:val="21"/>
        </w:rPr>
        <w:t>”</w:t>
      </w:r>
      <w:r>
        <w:rPr>
          <w:rFonts w:hint="eastAsia"/>
          <w:szCs w:val="21"/>
          <w:lang w:val="zh-CN"/>
        </w:rPr>
        <w:t>网站</w:t>
      </w:r>
      <w:r>
        <w:rPr>
          <w:szCs w:val="21"/>
        </w:rPr>
        <w:t>(www.creditchina.gov.cn)</w:t>
      </w:r>
      <w:r>
        <w:rPr>
          <w:szCs w:val="21"/>
          <w:lang w:val="zh-CN"/>
        </w:rPr>
        <w:t>失信被执行人、重大税收违法案件当事人记录名单</w:t>
      </w:r>
      <w:r>
        <w:rPr>
          <w:szCs w:val="21"/>
        </w:rPr>
        <w:t>，“</w:t>
      </w:r>
      <w:r>
        <w:rPr>
          <w:szCs w:val="21"/>
          <w:lang w:val="zh-CN"/>
        </w:rPr>
        <w:t>中国政府采购网</w:t>
      </w:r>
      <w:r>
        <w:rPr>
          <w:szCs w:val="21"/>
        </w:rPr>
        <w:t>”（http：//www.ccgp.gov.cn）</w:t>
      </w:r>
      <w:r>
        <w:rPr>
          <w:szCs w:val="21"/>
          <w:lang w:val="zh-CN"/>
        </w:rPr>
        <w:t>政府采购严重违法失信行为信息记录名单</w:t>
      </w:r>
      <w:r>
        <w:rPr>
          <w:szCs w:val="21"/>
        </w:rPr>
        <w:t>，</w:t>
      </w:r>
      <w:r>
        <w:rPr>
          <w:szCs w:val="21"/>
          <w:lang w:val="zh-CN"/>
        </w:rPr>
        <w:t>以采购代理机构谈判当天查询结果为准。</w:t>
      </w:r>
    </w:p>
    <w:p>
      <w:pPr>
        <w:ind w:firstLine="482"/>
        <w:rPr>
          <w:b/>
          <w:szCs w:val="21"/>
        </w:rPr>
      </w:pPr>
      <w:r>
        <w:rPr>
          <w:rFonts w:hint="eastAsia"/>
          <w:b/>
          <w:szCs w:val="21"/>
        </w:rPr>
        <w:t>三、报名及采购文件购买时间、地点</w:t>
      </w:r>
    </w:p>
    <w:p>
      <w:pPr>
        <w:widowControl/>
        <w:ind w:firstLine="480"/>
        <w:rPr>
          <w:bCs/>
          <w:szCs w:val="21"/>
        </w:rPr>
      </w:pPr>
      <w:r>
        <w:rPr>
          <w:rFonts w:hint="eastAsia"/>
          <w:szCs w:val="21"/>
        </w:rPr>
        <w:t>1、采购文件获取时间：</w:t>
      </w:r>
      <w:r>
        <w:rPr>
          <w:rFonts w:hint="eastAsia"/>
          <w:b/>
          <w:bCs/>
          <w:szCs w:val="21"/>
        </w:rPr>
        <w:t>即日起</w:t>
      </w:r>
      <w:r>
        <w:rPr>
          <w:b/>
          <w:bCs/>
          <w:szCs w:val="21"/>
        </w:rPr>
        <w:t>至2024年</w:t>
      </w:r>
      <w:r>
        <w:rPr>
          <w:rFonts w:hint="eastAsia"/>
          <w:b/>
          <w:bCs/>
          <w:szCs w:val="21"/>
          <w:lang w:val="en-US" w:eastAsia="zh-CN"/>
        </w:rPr>
        <w:t>4</w:t>
      </w:r>
      <w:r>
        <w:rPr>
          <w:b/>
          <w:bCs/>
          <w:szCs w:val="21"/>
        </w:rPr>
        <w:t>月</w:t>
      </w:r>
      <w:r>
        <w:rPr>
          <w:rFonts w:hint="eastAsia"/>
          <w:b/>
          <w:bCs/>
          <w:szCs w:val="21"/>
        </w:rPr>
        <w:t xml:space="preserve"> </w:t>
      </w:r>
      <w:r>
        <w:rPr>
          <w:rFonts w:hint="eastAsia"/>
          <w:b/>
          <w:bCs/>
          <w:szCs w:val="21"/>
          <w:lang w:val="en-US" w:eastAsia="zh-CN"/>
        </w:rPr>
        <w:t>8</w:t>
      </w:r>
      <w:bookmarkStart w:id="12" w:name="_GoBack"/>
      <w:bookmarkEnd w:id="12"/>
      <w:r>
        <w:rPr>
          <w:b/>
          <w:bCs/>
          <w:szCs w:val="21"/>
        </w:rPr>
        <w:t>日</w:t>
      </w:r>
      <w:r>
        <w:rPr>
          <w:rFonts w:hint="eastAsia"/>
          <w:bCs/>
          <w:szCs w:val="21"/>
        </w:rPr>
        <w:t>（上午8：30-12：00，下午14：00-17：30，北京时间，法定节假日除外）</w:t>
      </w:r>
    </w:p>
    <w:p>
      <w:pPr>
        <w:ind w:firstLine="480"/>
        <w:rPr>
          <w:szCs w:val="21"/>
        </w:rPr>
      </w:pPr>
      <w:r>
        <w:rPr>
          <w:rFonts w:hint="eastAsia"/>
          <w:szCs w:val="21"/>
        </w:rPr>
        <w:t>2、采购文件获取方式：</w:t>
      </w:r>
    </w:p>
    <w:p>
      <w:pPr>
        <w:ind w:firstLine="480"/>
        <w:rPr>
          <w:szCs w:val="21"/>
        </w:rPr>
      </w:pPr>
      <w:r>
        <w:rPr>
          <w:rFonts w:hint="eastAsia"/>
          <w:szCs w:val="21"/>
        </w:rPr>
        <w:t>1）现场购买者须持法定代表人授权委托书原件（含法定代表人及委托人身份证信息）或法定代表人证明书原件（含法定代表人身份证信息），营业执照复印件加盖单位公章获取采购文件。</w:t>
      </w:r>
    </w:p>
    <w:p>
      <w:pPr>
        <w:autoSpaceDE w:val="0"/>
        <w:autoSpaceDN w:val="0"/>
        <w:adjustRightInd w:val="0"/>
        <w:ind w:firstLine="482"/>
        <w:rPr>
          <w:b/>
          <w:szCs w:val="21"/>
          <w:lang w:val="zh-CN"/>
        </w:rPr>
      </w:pPr>
      <w:r>
        <w:rPr>
          <w:rFonts w:hint="eastAsia"/>
          <w:b/>
          <w:szCs w:val="21"/>
        </w:rPr>
        <w:t>四</w:t>
      </w:r>
      <w:r>
        <w:rPr>
          <w:rFonts w:hint="eastAsia"/>
          <w:b/>
          <w:szCs w:val="21"/>
          <w:lang w:val="zh-CN"/>
        </w:rPr>
        <w:t>、</w:t>
      </w:r>
      <w:r>
        <w:rPr>
          <w:rFonts w:hint="eastAsia"/>
          <w:b/>
          <w:szCs w:val="21"/>
        </w:rPr>
        <w:t>对本次采购提出询问，请按以下方式联系</w:t>
      </w:r>
    </w:p>
    <w:p>
      <w:pPr>
        <w:ind w:firstLine="424" w:firstLineChars="202"/>
        <w:rPr>
          <w:szCs w:val="21"/>
        </w:rPr>
      </w:pPr>
      <w:r>
        <w:rPr>
          <w:szCs w:val="21"/>
        </w:rPr>
        <w:t>1、采购人信息</w:t>
      </w:r>
    </w:p>
    <w:p>
      <w:pPr>
        <w:ind w:firstLine="424" w:firstLineChars="202"/>
        <w:rPr>
          <w:szCs w:val="21"/>
        </w:rPr>
      </w:pPr>
      <w:r>
        <w:rPr>
          <w:rFonts w:hint="eastAsia"/>
          <w:szCs w:val="21"/>
        </w:rPr>
        <w:t>名</w:t>
      </w:r>
      <w:r>
        <w:rPr>
          <w:szCs w:val="21"/>
        </w:rPr>
        <w:t xml:space="preserve">  称：</w:t>
      </w:r>
      <w:r>
        <w:rPr>
          <w:rFonts w:hint="eastAsia"/>
          <w:szCs w:val="21"/>
        </w:rPr>
        <w:t>黄石市中心医院</w:t>
      </w:r>
    </w:p>
    <w:p>
      <w:pPr>
        <w:ind w:firstLine="424" w:firstLineChars="202"/>
        <w:rPr>
          <w:szCs w:val="21"/>
        </w:rPr>
      </w:pPr>
      <w:r>
        <w:rPr>
          <w:rFonts w:hint="eastAsia"/>
          <w:szCs w:val="21"/>
        </w:rPr>
        <w:t>联系人：邵奇</w:t>
      </w:r>
    </w:p>
    <w:p>
      <w:pPr>
        <w:ind w:firstLine="480"/>
        <w:rPr>
          <w:rFonts w:ascii="宋体" w:hAnsi="宋体"/>
          <w:szCs w:val="21"/>
        </w:rPr>
      </w:pPr>
      <w:r>
        <w:rPr>
          <w:rFonts w:hint="eastAsia"/>
          <w:szCs w:val="21"/>
        </w:rPr>
        <w:t>电</w:t>
      </w:r>
      <w:r>
        <w:rPr>
          <w:szCs w:val="21"/>
        </w:rPr>
        <w:t xml:space="preserve">  话：</w:t>
      </w:r>
      <w:r>
        <w:rPr>
          <w:rFonts w:hint="eastAsia" w:ascii="宋体" w:hAnsi="宋体"/>
          <w:szCs w:val="21"/>
        </w:rPr>
        <w:t>0714-6256679</w:t>
      </w:r>
    </w:p>
    <w:p>
      <w:pPr>
        <w:ind w:firstLine="424" w:firstLineChars="202"/>
        <w:rPr>
          <w:szCs w:val="21"/>
        </w:rPr>
      </w:pPr>
    </w:p>
    <w:p>
      <w:pPr>
        <w:ind w:firstLine="480"/>
        <w:rPr>
          <w:szCs w:val="21"/>
          <w:lang w:val="zh-CN"/>
        </w:rPr>
      </w:pPr>
    </w:p>
    <w:p>
      <w:pPr>
        <w:pStyle w:val="7"/>
        <w:rPr>
          <w:rFonts w:ascii="仿宋" w:hAnsi="仿宋"/>
          <w:sz w:val="30"/>
          <w:szCs w:val="30"/>
        </w:rPr>
      </w:pPr>
      <w:r>
        <w:rPr>
          <w:rFonts w:ascii="仿宋" w:hAnsi="仿宋"/>
          <w:sz w:val="21"/>
          <w:szCs w:val="21"/>
          <w:lang w:val="zh-CN"/>
        </w:rPr>
        <w:br w:type="page"/>
      </w:r>
      <w:bookmarkStart w:id="2" w:name="_Toc61508196"/>
      <w:bookmarkStart w:id="3" w:name="_Toc53557929"/>
      <w:r>
        <w:rPr>
          <w:rFonts w:hint="eastAsia" w:ascii="仿宋" w:hAnsi="仿宋"/>
          <w:sz w:val="30"/>
          <w:szCs w:val="30"/>
        </w:rPr>
        <w:t>第二章  谈判须知前附表</w:t>
      </w:r>
      <w:bookmarkEnd w:id="2"/>
      <w:bookmarkEnd w:id="3"/>
    </w:p>
    <w:tbl>
      <w:tblPr>
        <w:tblStyle w:val="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13"/>
              <w:jc w:val="center"/>
              <w:rPr>
                <w:rFonts w:ascii="仿宋" w:hAnsi="仿宋" w:eastAsia="仿宋" w:cs="仿宋"/>
                <w:b/>
                <w:kern w:val="2"/>
                <w:szCs w:val="21"/>
              </w:rPr>
            </w:pPr>
            <w:r>
              <w:rPr>
                <w:rFonts w:hint="eastAsia" w:ascii="仿宋" w:hAnsi="仿宋" w:eastAsia="仿宋" w:cs="仿宋"/>
                <w:b/>
                <w:kern w:val="2"/>
                <w:szCs w:val="21"/>
              </w:rPr>
              <w:t>项号</w:t>
            </w:r>
          </w:p>
        </w:tc>
        <w:tc>
          <w:tcPr>
            <w:tcW w:w="2160" w:type="dxa"/>
            <w:vAlign w:val="center"/>
          </w:tcPr>
          <w:p>
            <w:pPr>
              <w:pStyle w:val="13"/>
              <w:jc w:val="center"/>
              <w:rPr>
                <w:rFonts w:ascii="仿宋" w:hAnsi="仿宋" w:eastAsia="仿宋" w:cs="仿宋"/>
                <w:b/>
                <w:kern w:val="2"/>
                <w:szCs w:val="21"/>
              </w:rPr>
            </w:pPr>
            <w:r>
              <w:rPr>
                <w:rFonts w:hint="eastAsia" w:ascii="仿宋" w:hAnsi="仿宋" w:eastAsia="仿宋" w:cs="仿宋"/>
                <w:b/>
                <w:kern w:val="2"/>
                <w:szCs w:val="21"/>
              </w:rPr>
              <w:t>类       别</w:t>
            </w:r>
          </w:p>
        </w:tc>
        <w:tc>
          <w:tcPr>
            <w:tcW w:w="5664" w:type="dxa"/>
            <w:vAlign w:val="center"/>
          </w:tcPr>
          <w:p>
            <w:pPr>
              <w:pStyle w:val="13"/>
              <w:jc w:val="center"/>
              <w:rPr>
                <w:rFonts w:ascii="仿宋" w:hAnsi="仿宋" w:eastAsia="仿宋" w:cs="仿宋"/>
                <w:b/>
                <w:kern w:val="2"/>
                <w:szCs w:val="21"/>
              </w:rPr>
            </w:pPr>
            <w:r>
              <w:rPr>
                <w:rFonts w:hint="eastAsia" w:ascii="仿宋" w:hAnsi="仿宋" w:eastAsia="仿宋" w:cs="仿宋"/>
                <w:b/>
                <w:kern w:val="2"/>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1</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项目地址</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2</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采购范围</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 xml:space="preserve">采购需求所包含全部内容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3</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资金来源</w:t>
            </w:r>
          </w:p>
        </w:tc>
        <w:tc>
          <w:tcPr>
            <w:tcW w:w="5664" w:type="dxa"/>
            <w:vAlign w:val="center"/>
          </w:tcPr>
          <w:p>
            <w:pPr>
              <w:pStyle w:val="13"/>
              <w:rPr>
                <w:rFonts w:ascii="仿宋" w:hAnsi="仿宋" w:eastAsia="仿宋" w:cs="仿宋"/>
                <w:kern w:val="2"/>
                <w:szCs w:val="21"/>
              </w:rPr>
            </w:pPr>
            <w:r>
              <w:rPr>
                <w:rFonts w:hint="eastAsia" w:ascii="仿宋" w:hAnsi="仿宋" w:eastAsia="仿宋" w:cs="仿宋"/>
                <w:spacing w:val="-8"/>
                <w:kern w:val="2"/>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4</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谈判有效期</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5</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报价方式</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lang w:val="zh-CN"/>
              </w:rPr>
              <w:t>报价方式：总价包干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6</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资格审查方法</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7</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采购方式</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竞争性磋商采购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8</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谈判响应文件份数</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纸质：正本</w:t>
            </w:r>
            <w:r>
              <w:rPr>
                <w:rFonts w:hint="eastAsia" w:ascii="仿宋" w:hAnsi="仿宋" w:eastAsia="仿宋" w:cs="仿宋"/>
                <w:kern w:val="2"/>
                <w:szCs w:val="21"/>
                <w:u w:val="single"/>
              </w:rPr>
              <w:t xml:space="preserve"> 壹 </w:t>
            </w:r>
            <w:r>
              <w:rPr>
                <w:rFonts w:hint="eastAsia" w:ascii="仿宋" w:hAnsi="仿宋" w:eastAsia="仿宋" w:cs="仿宋"/>
                <w:kern w:val="2"/>
                <w:szCs w:val="21"/>
              </w:rPr>
              <w:t>份，副本</w:t>
            </w:r>
            <w:r>
              <w:rPr>
                <w:rFonts w:hint="eastAsia" w:ascii="仿宋" w:hAnsi="仿宋" w:eastAsia="仿宋" w:cs="仿宋"/>
                <w:kern w:val="2"/>
                <w:szCs w:val="21"/>
                <w:u w:val="single"/>
              </w:rPr>
              <w:t xml:space="preserve">叁 </w:t>
            </w:r>
            <w:r>
              <w:rPr>
                <w:rFonts w:hint="eastAsia" w:ascii="仿宋" w:hAnsi="仿宋" w:eastAsia="仿宋" w:cs="仿宋"/>
                <w:kern w:val="2"/>
                <w:szCs w:val="21"/>
              </w:rPr>
              <w:t>份；</w:t>
            </w:r>
          </w:p>
          <w:p>
            <w:pPr>
              <w:pStyle w:val="13"/>
              <w:rPr>
                <w:rFonts w:ascii="仿宋" w:hAnsi="仿宋" w:eastAsia="仿宋" w:cs="仿宋"/>
                <w:kern w:val="2"/>
                <w:szCs w:val="21"/>
              </w:rPr>
            </w:pPr>
            <w:r>
              <w:rPr>
                <w:rFonts w:hint="eastAsia" w:ascii="仿宋" w:hAnsi="仿宋" w:eastAsia="仿宋" w:cs="仿宋"/>
                <w:kern w:val="2"/>
                <w:szCs w:val="21"/>
              </w:rPr>
              <w:t>电子：U盘备份</w:t>
            </w:r>
            <w:r>
              <w:rPr>
                <w:rFonts w:hint="eastAsia" w:ascii="仿宋" w:hAnsi="仿宋" w:eastAsia="仿宋" w:cs="仿宋"/>
                <w:kern w:val="2"/>
                <w:szCs w:val="21"/>
                <w:u w:val="single"/>
              </w:rPr>
              <w:t xml:space="preserve"> 壹 </w:t>
            </w:r>
            <w:r>
              <w:rPr>
                <w:rFonts w:hint="eastAsia" w:ascii="仿宋" w:hAnsi="仿宋" w:eastAsia="仿宋" w:cs="仿宋"/>
                <w:kern w:val="2"/>
                <w:szCs w:val="21"/>
              </w:rPr>
              <w:t>份。</w:t>
            </w:r>
          </w:p>
          <w:p>
            <w:pPr>
              <w:pStyle w:val="13"/>
              <w:rPr>
                <w:rFonts w:ascii="仿宋" w:hAnsi="仿宋" w:eastAsia="仿宋" w:cs="仿宋"/>
                <w:kern w:val="2"/>
                <w:szCs w:val="21"/>
              </w:rPr>
            </w:pPr>
            <w:r>
              <w:rPr>
                <w:rFonts w:hint="eastAsia" w:ascii="仿宋" w:hAnsi="仿宋" w:eastAsia="仿宋" w:cs="仿宋"/>
                <w:kern w:val="2"/>
                <w:szCs w:val="21"/>
              </w:rPr>
              <w:t>所有响应文件接收后概不退还。</w:t>
            </w:r>
          </w:p>
        </w:tc>
      </w:tr>
    </w:tbl>
    <w:p>
      <w:pPr>
        <w:jc w:val="center"/>
        <w:rPr>
          <w:b/>
          <w:szCs w:val="21"/>
        </w:rPr>
      </w:pPr>
    </w:p>
    <w:p>
      <w:pPr>
        <w:jc w:val="center"/>
        <w:rPr>
          <w:b/>
          <w:szCs w:val="21"/>
        </w:rPr>
      </w:pPr>
      <w:r>
        <w:rPr>
          <w:b/>
          <w:szCs w:val="21"/>
        </w:rPr>
        <w:br w:type="page"/>
      </w:r>
      <w:r>
        <w:rPr>
          <w:rFonts w:hint="eastAsia"/>
          <w:b/>
          <w:szCs w:val="21"/>
        </w:rPr>
        <w:t>（一）总则</w:t>
      </w:r>
    </w:p>
    <w:p>
      <w:pPr>
        <w:ind w:right="-161" w:firstLine="482"/>
        <w:rPr>
          <w:b/>
          <w:szCs w:val="21"/>
        </w:rPr>
      </w:pPr>
      <w:r>
        <w:rPr>
          <w:rFonts w:hint="eastAsia"/>
          <w:b/>
          <w:szCs w:val="21"/>
        </w:rPr>
        <w:t>1、采购范围及适用法律</w:t>
      </w:r>
    </w:p>
    <w:p>
      <w:pPr>
        <w:ind w:right="-161" w:firstLine="480"/>
        <w:rPr>
          <w:szCs w:val="21"/>
        </w:rPr>
      </w:pPr>
      <w:r>
        <w:rPr>
          <w:rFonts w:hint="eastAsia"/>
          <w:szCs w:val="21"/>
        </w:rPr>
        <w:t>本次采购适用的法律、法规为《合同法》。</w:t>
      </w:r>
    </w:p>
    <w:p>
      <w:pPr>
        <w:ind w:right="-161" w:firstLine="482"/>
        <w:rPr>
          <w:b/>
          <w:szCs w:val="21"/>
        </w:rPr>
      </w:pPr>
      <w:r>
        <w:rPr>
          <w:rFonts w:hint="eastAsia"/>
          <w:b/>
          <w:szCs w:val="21"/>
        </w:rPr>
        <w:t>2、定义</w:t>
      </w:r>
    </w:p>
    <w:p>
      <w:pPr>
        <w:ind w:right="-161" w:firstLine="480"/>
        <w:rPr>
          <w:szCs w:val="21"/>
        </w:rPr>
      </w:pPr>
      <w:r>
        <w:rPr>
          <w:rFonts w:hint="eastAsia"/>
          <w:szCs w:val="21"/>
        </w:rPr>
        <w:t>2.1采购人：见竞争性磋商采购邀请函</w:t>
      </w:r>
    </w:p>
    <w:p>
      <w:pPr>
        <w:ind w:right="-161" w:firstLine="480"/>
        <w:rPr>
          <w:szCs w:val="21"/>
        </w:rPr>
      </w:pPr>
      <w:r>
        <w:rPr>
          <w:rFonts w:hint="eastAsia"/>
          <w:szCs w:val="21"/>
        </w:rPr>
        <w:t>2.2采购代理机构：见竞争性磋商采购邀请函</w:t>
      </w:r>
    </w:p>
    <w:p>
      <w:pPr>
        <w:pStyle w:val="14"/>
        <w:ind w:firstLine="480"/>
      </w:pPr>
      <w:r>
        <w:rPr>
          <w:rFonts w:hint="eastAsia"/>
        </w:rPr>
        <w:t>2.3供应商：指符合竞争性磋商采购规定的条件、向采购单位提交响应性文件的供应商或其专业授权经销商。</w:t>
      </w:r>
    </w:p>
    <w:p>
      <w:pPr>
        <w:ind w:firstLine="480"/>
        <w:rPr>
          <w:snapToGrid w:val="0"/>
          <w:szCs w:val="21"/>
        </w:rPr>
      </w:pPr>
      <w:r>
        <w:rPr>
          <w:rFonts w:hint="eastAsia"/>
          <w:snapToGrid w:val="0"/>
          <w:szCs w:val="21"/>
        </w:rPr>
        <w:t>2.4 货物：系指成交供应商按采购文件规定，所提供的各种形态和种类的物品，包括设备、产品、备品备件、工具、手册等；</w:t>
      </w:r>
    </w:p>
    <w:p>
      <w:pPr>
        <w:ind w:firstLine="480"/>
        <w:rPr>
          <w:szCs w:val="21"/>
        </w:rPr>
      </w:pPr>
      <w:r>
        <w:rPr>
          <w:rFonts w:hint="eastAsia"/>
          <w:snapToGrid w:val="0"/>
          <w:szCs w:val="21"/>
        </w:rPr>
        <w:t>2.5 服务：系指成交供应商按采购文件规定，必须承担的运输、安装、调试、技术协助、培训、维修、配件供应等义务。</w:t>
      </w:r>
    </w:p>
    <w:p>
      <w:pPr>
        <w:pStyle w:val="14"/>
        <w:ind w:firstLine="480"/>
        <w:rPr>
          <w:b/>
          <w:bCs/>
        </w:rPr>
      </w:pPr>
      <w:r>
        <w:rPr>
          <w:rFonts w:hint="eastAsia"/>
        </w:rPr>
        <w:t>5、</w:t>
      </w:r>
      <w:r>
        <w:rPr>
          <w:rFonts w:hint="eastAsia"/>
          <w:b/>
          <w:bCs/>
        </w:rPr>
        <w:t>合格的供应商</w:t>
      </w:r>
    </w:p>
    <w:p>
      <w:pPr>
        <w:pStyle w:val="14"/>
        <w:ind w:firstLine="480"/>
      </w:pPr>
      <w:r>
        <w:rPr>
          <w:rFonts w:hint="eastAsia"/>
        </w:rPr>
        <w:t>参加谈判的供应商必须满足前附表所要求的资格要求</w:t>
      </w:r>
      <w:r>
        <w:rPr>
          <w:rFonts w:hint="eastAsia"/>
          <w:b/>
          <w:bCs/>
        </w:rPr>
        <w:t>。</w:t>
      </w:r>
    </w:p>
    <w:p>
      <w:pPr>
        <w:pStyle w:val="14"/>
        <w:ind w:firstLine="482"/>
        <w:rPr>
          <w:b/>
          <w:bCs/>
        </w:rPr>
      </w:pPr>
      <w:r>
        <w:rPr>
          <w:rFonts w:hint="eastAsia"/>
          <w:b/>
        </w:rPr>
        <w:t>6、</w:t>
      </w:r>
      <w:r>
        <w:rPr>
          <w:rFonts w:hint="eastAsia"/>
          <w:b/>
          <w:bCs/>
        </w:rPr>
        <w:t>供应商资格审查</w:t>
      </w:r>
    </w:p>
    <w:p>
      <w:pPr>
        <w:pStyle w:val="14"/>
        <w:ind w:firstLine="448"/>
        <w:rPr>
          <w:bCs/>
        </w:rPr>
      </w:pPr>
      <w:r>
        <w:rPr>
          <w:rFonts w:hint="eastAsia"/>
          <w:spacing w:val="-8"/>
        </w:rPr>
        <w:t>供应商</w:t>
      </w:r>
      <w:r>
        <w:rPr>
          <w:rFonts w:hint="eastAsia"/>
        </w:rPr>
        <w:t>资格由谈判小组通过</w:t>
      </w:r>
      <w:r>
        <w:rPr>
          <w:rFonts w:hint="eastAsia"/>
          <w:bCs/>
        </w:rPr>
        <w:t>资格后审</w:t>
      </w:r>
      <w:r>
        <w:rPr>
          <w:rFonts w:hint="eastAsia"/>
        </w:rPr>
        <w:t>方式予以确认，</w:t>
      </w:r>
      <w:r>
        <w:rPr>
          <w:rFonts w:hint="eastAsia"/>
          <w:bCs/>
        </w:rPr>
        <w:t>未通过资格审查的谈判响应文件将按无效谈判处理。</w:t>
      </w:r>
    </w:p>
    <w:p>
      <w:pPr>
        <w:jc w:val="center"/>
        <w:rPr>
          <w:b/>
          <w:szCs w:val="21"/>
        </w:rPr>
      </w:pPr>
      <w:r>
        <w:rPr>
          <w:rFonts w:hint="eastAsia"/>
          <w:b/>
          <w:szCs w:val="21"/>
        </w:rPr>
        <w:t>（二）响应文件的编制</w:t>
      </w:r>
    </w:p>
    <w:p>
      <w:pPr>
        <w:ind w:firstLine="413" w:firstLineChars="196"/>
        <w:rPr>
          <w:b/>
          <w:bCs/>
          <w:kern w:val="0"/>
          <w:szCs w:val="21"/>
        </w:rPr>
      </w:pPr>
      <w:r>
        <w:rPr>
          <w:rFonts w:hint="eastAsia"/>
          <w:b/>
          <w:bCs/>
          <w:kern w:val="0"/>
          <w:szCs w:val="21"/>
        </w:rPr>
        <w:t>7、响应文件编制基本要求</w:t>
      </w:r>
    </w:p>
    <w:p>
      <w:pPr>
        <w:pStyle w:val="14"/>
        <w:ind w:firstLine="480"/>
      </w:pPr>
      <w:r>
        <w:rPr>
          <w:rFonts w:hint="eastAsia"/>
        </w:rPr>
        <w:t>7.1供应商对洽谈响应文件的编制应按要求装订和封装。</w:t>
      </w:r>
    </w:p>
    <w:p>
      <w:pPr>
        <w:pStyle w:val="14"/>
        <w:ind w:firstLine="480"/>
      </w:pPr>
      <w:r>
        <w:rPr>
          <w:rFonts w:hint="eastAsia"/>
        </w:rPr>
        <w:t>7.2供应商提交的竞争性磋商响应文件以及供应商与采购代理机构和采购人就有关谈判的所有来往函电均应使用中文。供应商提交的支持文件和印刷的文献可以使用别的语言，但其相应内容必须附有中文翻译文本，在解释洽谈响应文件时以翻译文本为主。</w:t>
      </w:r>
    </w:p>
    <w:p>
      <w:pPr>
        <w:pStyle w:val="14"/>
        <w:ind w:firstLine="480"/>
      </w:pPr>
      <w:r>
        <w:rPr>
          <w:rFonts w:hint="eastAsia"/>
        </w:rPr>
        <w:t>7.3供应商应认真阅读、并充分理解本文件的全部内容（包括所有的补充、修改内容），承诺并履行本文件中各项条款规定及要求。</w:t>
      </w:r>
    </w:p>
    <w:p>
      <w:pPr>
        <w:pStyle w:val="14"/>
        <w:ind w:firstLine="480"/>
      </w:pPr>
      <w:r>
        <w:rPr>
          <w:rFonts w:hint="eastAsia"/>
        </w:rPr>
        <w:t>7.4洽谈响应文件必须按本文件的全部内容，包括所有的补充通知及附件进行编制。</w:t>
      </w:r>
    </w:p>
    <w:p>
      <w:pPr>
        <w:pStyle w:val="14"/>
        <w:ind w:firstLine="480"/>
      </w:pPr>
      <w:r>
        <w:rPr>
          <w:rFonts w:hint="eastAsia"/>
        </w:rPr>
        <w:t>7.5如因供应商只填写和提供了本文件要求的部分内容和附件，而给评审造成困难，其可能导致的结果和责任由供应商自行承担。</w:t>
      </w:r>
    </w:p>
    <w:p>
      <w:pPr>
        <w:pStyle w:val="14"/>
        <w:ind w:firstLine="480"/>
      </w:pPr>
      <w:r>
        <w:rPr>
          <w:rFonts w:hint="eastAsia"/>
        </w:rPr>
        <w:t>8、</w:t>
      </w:r>
      <w:r>
        <w:rPr>
          <w:rFonts w:hint="eastAsia"/>
          <w:b/>
          <w:bCs/>
        </w:rPr>
        <w:t>响应文件的语言及度量衡单位</w:t>
      </w:r>
    </w:p>
    <w:p>
      <w:pPr>
        <w:pStyle w:val="14"/>
        <w:ind w:firstLine="480"/>
      </w:pPr>
      <w:r>
        <w:rPr>
          <w:rFonts w:hint="eastAsia"/>
        </w:rPr>
        <w:t>8.1 响应文件及与有关的所有文件均应使用中文。</w:t>
      </w:r>
    </w:p>
    <w:p>
      <w:pPr>
        <w:pStyle w:val="14"/>
        <w:ind w:firstLine="480"/>
      </w:pPr>
      <w:r>
        <w:rPr>
          <w:rFonts w:hint="eastAsia"/>
        </w:rPr>
        <w:t>8.2 除规范另有规定外，响应文件使用的度量衡单位，均采用中华人民共和国法定计量单位。</w:t>
      </w:r>
    </w:p>
    <w:p>
      <w:pPr>
        <w:pStyle w:val="14"/>
        <w:ind w:firstLine="480"/>
      </w:pPr>
      <w:r>
        <w:rPr>
          <w:rFonts w:hint="eastAsia"/>
        </w:rPr>
        <w:t>9、响应文件的组成</w:t>
      </w:r>
    </w:p>
    <w:p>
      <w:pPr>
        <w:pStyle w:val="14"/>
        <w:ind w:firstLine="480"/>
      </w:pPr>
      <w:r>
        <w:rPr>
          <w:rFonts w:hint="eastAsia"/>
        </w:rPr>
        <w:t>9.1 响应文件由资格审查文件、价格文件和商务技术文件三个部分组成，具体见响应文件格式。</w:t>
      </w:r>
    </w:p>
    <w:p>
      <w:pPr>
        <w:pStyle w:val="14"/>
        <w:ind w:firstLine="482"/>
        <w:rPr>
          <w:b/>
        </w:rPr>
      </w:pPr>
      <w:r>
        <w:rPr>
          <w:rFonts w:hint="eastAsia"/>
          <w:b/>
        </w:rPr>
        <w:t>9.1资格审查文件</w:t>
      </w:r>
    </w:p>
    <w:p>
      <w:pPr>
        <w:ind w:firstLine="480"/>
        <w:rPr>
          <w:szCs w:val="21"/>
        </w:rPr>
      </w:pPr>
      <w:r>
        <w:rPr>
          <w:rFonts w:hint="eastAsia"/>
          <w:szCs w:val="21"/>
        </w:rPr>
        <w:t>需按资格审查内容的要求，提供相关证明文件</w:t>
      </w:r>
    </w:p>
    <w:p>
      <w:pPr>
        <w:pStyle w:val="14"/>
        <w:ind w:firstLine="482"/>
        <w:rPr>
          <w:b/>
        </w:rPr>
      </w:pPr>
      <w:r>
        <w:rPr>
          <w:rFonts w:hint="eastAsia"/>
          <w:b/>
        </w:rPr>
        <w:t>9.2价格文件主要包括下列内容：</w:t>
      </w:r>
    </w:p>
    <w:p>
      <w:pPr>
        <w:pStyle w:val="14"/>
        <w:ind w:firstLine="480"/>
        <w:rPr>
          <w:lang w:val="zh-CN"/>
        </w:rPr>
      </w:pPr>
      <w:r>
        <w:rPr>
          <w:rFonts w:hint="eastAsia"/>
          <w:lang w:val="zh-CN"/>
        </w:rPr>
        <w:t>9.2.1谈判报价表</w:t>
      </w:r>
    </w:p>
    <w:p>
      <w:pPr>
        <w:pStyle w:val="14"/>
        <w:ind w:firstLine="480"/>
        <w:rPr>
          <w:lang w:val="zh-CN"/>
        </w:rPr>
      </w:pPr>
      <w:r>
        <w:rPr>
          <w:rFonts w:hint="eastAsia"/>
          <w:lang w:val="zh-CN"/>
        </w:rPr>
        <w:t>9.2.2分项报价表（如有）</w:t>
      </w:r>
    </w:p>
    <w:p>
      <w:pPr>
        <w:pStyle w:val="14"/>
        <w:ind w:firstLine="482"/>
        <w:rPr>
          <w:b/>
        </w:rPr>
      </w:pPr>
      <w:r>
        <w:rPr>
          <w:rFonts w:hint="eastAsia"/>
          <w:b/>
        </w:rPr>
        <w:t xml:space="preserve">9.3商务技术文件 </w:t>
      </w:r>
    </w:p>
    <w:p>
      <w:pPr>
        <w:ind w:firstLine="480"/>
        <w:rPr>
          <w:kern w:val="0"/>
          <w:szCs w:val="21"/>
        </w:rPr>
      </w:pPr>
      <w:r>
        <w:rPr>
          <w:rFonts w:hint="eastAsia"/>
          <w:kern w:val="0"/>
          <w:szCs w:val="21"/>
        </w:rPr>
        <w:t>9.3.1谈判书；</w:t>
      </w:r>
    </w:p>
    <w:p>
      <w:pPr>
        <w:ind w:firstLine="480"/>
        <w:rPr>
          <w:kern w:val="0"/>
          <w:szCs w:val="21"/>
        </w:rPr>
      </w:pPr>
      <w:r>
        <w:rPr>
          <w:rFonts w:hint="eastAsia"/>
          <w:kern w:val="0"/>
          <w:szCs w:val="21"/>
        </w:rPr>
        <w:t>9.3.2技术响应、偏离情况说明表；</w:t>
      </w:r>
    </w:p>
    <w:p>
      <w:pPr>
        <w:pStyle w:val="14"/>
        <w:ind w:firstLine="480"/>
      </w:pPr>
      <w:r>
        <w:rPr>
          <w:rFonts w:hint="eastAsia"/>
        </w:rPr>
        <w:t>9.3.3所投货物质量保证承诺和质量保证期限</w:t>
      </w:r>
    </w:p>
    <w:p>
      <w:pPr>
        <w:pStyle w:val="14"/>
        <w:ind w:firstLine="480"/>
      </w:pPr>
      <w:r>
        <w:rPr>
          <w:rFonts w:hint="eastAsia"/>
        </w:rPr>
        <w:t>9.3.4售后服务承诺（质保期内及质保期外）及优惠条件</w:t>
      </w:r>
    </w:p>
    <w:p>
      <w:pPr>
        <w:pStyle w:val="14"/>
        <w:ind w:firstLine="480"/>
        <w:textAlignment w:val="baseline"/>
      </w:pPr>
      <w:r>
        <w:rPr>
          <w:rFonts w:hint="eastAsia"/>
        </w:rPr>
        <w:t>9.3.5供应商认为有必要提供的其他资料</w:t>
      </w:r>
    </w:p>
    <w:p>
      <w:pPr>
        <w:numPr>
          <w:ilvl w:val="0"/>
          <w:numId w:val="2"/>
        </w:numPr>
        <w:ind w:firstLine="482"/>
        <w:rPr>
          <w:b/>
          <w:bCs/>
          <w:szCs w:val="21"/>
        </w:rPr>
      </w:pPr>
      <w:r>
        <w:rPr>
          <w:rFonts w:hint="eastAsia"/>
          <w:b/>
          <w:bCs/>
          <w:szCs w:val="21"/>
        </w:rPr>
        <w:t>报价：</w:t>
      </w:r>
    </w:p>
    <w:p>
      <w:pPr>
        <w:ind w:firstLine="480"/>
        <w:rPr>
          <w:kern w:val="0"/>
          <w:szCs w:val="21"/>
        </w:rPr>
      </w:pPr>
      <w:r>
        <w:rPr>
          <w:rFonts w:hint="eastAsia"/>
          <w:kern w:val="0"/>
          <w:szCs w:val="21"/>
        </w:rPr>
        <w:t>各供应商应按照文件的要求及自身情况编制报价。</w:t>
      </w:r>
    </w:p>
    <w:p>
      <w:pPr>
        <w:ind w:firstLine="480"/>
        <w:rPr>
          <w:kern w:val="0"/>
          <w:szCs w:val="21"/>
        </w:rPr>
      </w:pPr>
      <w:r>
        <w:rPr>
          <w:rFonts w:hint="eastAsia"/>
          <w:kern w:val="0"/>
          <w:szCs w:val="21"/>
        </w:rPr>
        <w:t>10.1本项目的报价采用本须知前附表所规定的方式。</w:t>
      </w:r>
    </w:p>
    <w:p>
      <w:pPr>
        <w:ind w:firstLine="480"/>
        <w:rPr>
          <w:kern w:val="0"/>
          <w:szCs w:val="21"/>
        </w:rPr>
      </w:pPr>
      <w:r>
        <w:rPr>
          <w:rFonts w:hint="eastAsia"/>
          <w:kern w:val="0"/>
          <w:szCs w:val="21"/>
        </w:rPr>
        <w:t>10.2报价应包括按文件规定,完成报价书中所列项目的全部费用。</w:t>
      </w:r>
    </w:p>
    <w:p>
      <w:pPr>
        <w:ind w:firstLine="480"/>
        <w:rPr>
          <w:kern w:val="0"/>
          <w:szCs w:val="21"/>
        </w:rPr>
      </w:pPr>
      <w:r>
        <w:rPr>
          <w:rFonts w:hint="eastAsia"/>
          <w:kern w:val="0"/>
          <w:szCs w:val="21"/>
        </w:rPr>
        <w:t>10.3报价应按总价报价，并列明各产品单价。各产品单价报价中包含成本、利润、税金、等所有费用。</w:t>
      </w:r>
    </w:p>
    <w:p>
      <w:pPr>
        <w:pStyle w:val="14"/>
        <w:ind w:firstLine="482"/>
        <w:rPr>
          <w:b/>
          <w:bCs/>
        </w:rPr>
      </w:pPr>
      <w:r>
        <w:rPr>
          <w:rFonts w:hint="eastAsia"/>
          <w:b/>
          <w:bCs/>
        </w:rPr>
        <w:t>11、谈判有效期</w:t>
      </w:r>
    </w:p>
    <w:p>
      <w:pPr>
        <w:pStyle w:val="14"/>
        <w:ind w:firstLine="480"/>
      </w:pPr>
      <w:r>
        <w:rPr>
          <w:rFonts w:hint="eastAsia"/>
        </w:rPr>
        <w:t>11.1</w:t>
      </w:r>
      <w:r>
        <w:rPr>
          <w:rFonts w:hint="eastAsia"/>
          <w:b/>
          <w:bCs/>
        </w:rPr>
        <w:t>谈判有效期为60日历天</w:t>
      </w:r>
      <w:r>
        <w:rPr>
          <w:rFonts w:hint="eastAsia"/>
        </w:rPr>
        <w:t>，从谈判截止之日算起。</w:t>
      </w:r>
    </w:p>
    <w:p>
      <w:pPr>
        <w:pStyle w:val="14"/>
        <w:ind w:firstLine="480"/>
      </w:pPr>
      <w:r>
        <w:rPr>
          <w:rFonts w:hint="eastAsia"/>
        </w:rPr>
        <w:t>11.2在原定谈判有效期内，如果出现特殊情况，采购人可以书面形式向供应商提出延长谈判有效期的要求，对此要求供应商须以书面形式予以答复，供应商可以拒绝这种要求。</w:t>
      </w:r>
    </w:p>
    <w:p>
      <w:pPr>
        <w:pStyle w:val="14"/>
        <w:ind w:firstLine="482"/>
        <w:rPr>
          <w:b/>
          <w:bCs/>
        </w:rPr>
      </w:pPr>
      <w:r>
        <w:rPr>
          <w:rFonts w:hint="eastAsia"/>
          <w:b/>
          <w:bCs/>
        </w:rPr>
        <w:t>12、响应文件的份数和签署</w:t>
      </w:r>
    </w:p>
    <w:p>
      <w:pPr>
        <w:pStyle w:val="14"/>
        <w:ind w:firstLine="480"/>
      </w:pPr>
      <w:r>
        <w:rPr>
          <w:rFonts w:hint="eastAsia"/>
        </w:rPr>
        <w:t>12.1响应文件数按壹正贰副提交。响应文件正本和副本如有不一致之处，以正本为准。</w:t>
      </w:r>
    </w:p>
    <w:p>
      <w:pPr>
        <w:pStyle w:val="14"/>
        <w:ind w:firstLine="480"/>
      </w:pPr>
      <w:r>
        <w:rPr>
          <w:rFonts w:hint="eastAsia"/>
        </w:rPr>
        <w:t>12.2响应文件正本与副本均需使用A4纸用永久性字迹打印，并需在响应文件封面右上角清楚地注明“正本”或“副本”。</w:t>
      </w:r>
    </w:p>
    <w:p>
      <w:pPr>
        <w:pStyle w:val="14"/>
        <w:ind w:firstLine="480"/>
      </w:pPr>
      <w:r>
        <w:rPr>
          <w:rFonts w:hint="eastAsia"/>
        </w:rPr>
        <w:t>12.3响应文件封面、谈判书均应加盖供应商印章并经法定代表人签字和盖章。响应文件签字及内容均须符合要求，否则响应文件签署无效。</w:t>
      </w:r>
    </w:p>
    <w:p>
      <w:pPr>
        <w:pStyle w:val="14"/>
        <w:ind w:firstLine="480"/>
      </w:pPr>
      <w:r>
        <w:rPr>
          <w:rFonts w:hint="eastAsia"/>
        </w:rPr>
        <w:t>12.4全套响应文件不准有涂改和行间插字。如有修改，修改处应加盖供应商公章或由委托人签字或盖章。</w:t>
      </w:r>
    </w:p>
    <w:p>
      <w:pPr>
        <w:ind w:firstLine="482"/>
        <w:jc w:val="center"/>
        <w:rPr>
          <w:b/>
          <w:szCs w:val="21"/>
        </w:rPr>
      </w:pPr>
      <w:r>
        <w:rPr>
          <w:rFonts w:hint="eastAsia"/>
          <w:b/>
          <w:szCs w:val="21"/>
        </w:rPr>
        <w:t>（三）响应文件的提交</w:t>
      </w:r>
    </w:p>
    <w:p>
      <w:pPr>
        <w:ind w:firstLine="480"/>
        <w:rPr>
          <w:szCs w:val="21"/>
        </w:rPr>
      </w:pPr>
      <w:r>
        <w:rPr>
          <w:rFonts w:hint="eastAsia"/>
          <w:szCs w:val="21"/>
        </w:rPr>
        <w:t>13、响应文件的制作、装订、密封和标记</w:t>
      </w:r>
    </w:p>
    <w:p>
      <w:pPr>
        <w:ind w:firstLine="480"/>
        <w:rPr>
          <w:szCs w:val="21"/>
        </w:rPr>
      </w:pPr>
      <w:r>
        <w:rPr>
          <w:rFonts w:hint="eastAsia"/>
          <w:szCs w:val="21"/>
        </w:rPr>
        <w:t>13.1  供应商应将响应文件正本和副本合封在一个外层包装内。</w:t>
      </w:r>
    </w:p>
    <w:p>
      <w:pPr>
        <w:ind w:firstLine="480"/>
        <w:rPr>
          <w:szCs w:val="21"/>
        </w:rPr>
      </w:pPr>
      <w:r>
        <w:rPr>
          <w:rFonts w:hint="eastAsia"/>
          <w:szCs w:val="21"/>
        </w:rPr>
        <w:t>13.2  所有响应文件的内层密封袋的封口处应加盖供应商印章，所有响应文件的外层密封袋的封口处应加盖密封章。</w:t>
      </w:r>
    </w:p>
    <w:p>
      <w:pPr>
        <w:ind w:firstLine="482"/>
        <w:jc w:val="center"/>
        <w:rPr>
          <w:b/>
          <w:szCs w:val="21"/>
        </w:rPr>
      </w:pPr>
      <w:r>
        <w:rPr>
          <w:rFonts w:hint="eastAsia"/>
          <w:b/>
          <w:szCs w:val="21"/>
        </w:rPr>
        <w:t>（四）谈判报价与评审</w:t>
      </w:r>
    </w:p>
    <w:p>
      <w:pPr>
        <w:ind w:firstLine="480"/>
        <w:rPr>
          <w:snapToGrid w:val="0"/>
          <w:szCs w:val="21"/>
          <w:lang w:val="zh-CN"/>
        </w:rPr>
      </w:pPr>
      <w:r>
        <w:rPr>
          <w:rFonts w:hint="eastAsia"/>
          <w:snapToGrid w:val="0"/>
          <w:szCs w:val="21"/>
          <w:lang w:val="zh-CN"/>
        </w:rPr>
        <w:t>14、谈判小组</w:t>
      </w:r>
    </w:p>
    <w:p>
      <w:pPr>
        <w:ind w:firstLine="480"/>
        <w:rPr>
          <w:snapToGrid w:val="0"/>
          <w:szCs w:val="21"/>
          <w:lang w:val="zh-CN"/>
        </w:rPr>
      </w:pPr>
      <w:r>
        <w:rPr>
          <w:rFonts w:hint="eastAsia"/>
          <w:snapToGrid w:val="0"/>
          <w:szCs w:val="21"/>
          <w:lang w:val="zh-CN"/>
        </w:rPr>
        <w:t>14.</w:t>
      </w:r>
      <w:r>
        <w:rPr>
          <w:snapToGrid w:val="0"/>
          <w:szCs w:val="21"/>
          <w:lang w:val="zh-CN"/>
        </w:rPr>
        <w:t>1</w:t>
      </w:r>
      <w:r>
        <w:rPr>
          <w:rFonts w:hint="eastAsia"/>
          <w:snapToGrid w:val="0"/>
          <w:szCs w:val="21"/>
          <w:lang w:val="zh-CN"/>
        </w:rPr>
        <w:t>谈判小组由采购人依照有关法规组建。谈判小组成员由三人组成。</w:t>
      </w:r>
    </w:p>
    <w:p>
      <w:pPr>
        <w:ind w:firstLine="480"/>
        <w:rPr>
          <w:snapToGrid w:val="0"/>
          <w:szCs w:val="21"/>
          <w:lang w:val="zh-CN"/>
        </w:rPr>
      </w:pPr>
      <w:r>
        <w:rPr>
          <w:rFonts w:hint="eastAsia"/>
          <w:snapToGrid w:val="0"/>
          <w:szCs w:val="21"/>
          <w:lang w:val="zh-CN"/>
        </w:rPr>
        <w:t>14.</w:t>
      </w:r>
      <w:r>
        <w:rPr>
          <w:snapToGrid w:val="0"/>
          <w:szCs w:val="21"/>
          <w:lang w:val="zh-CN"/>
        </w:rPr>
        <w:t>2</w:t>
      </w:r>
      <w:r>
        <w:rPr>
          <w:rFonts w:hint="eastAsia"/>
          <w:snapToGrid w:val="0"/>
          <w:szCs w:val="21"/>
          <w:lang w:val="zh-CN"/>
        </w:rPr>
        <w:t>谈判小组负责对供应商进行资格性审查和符合性审查。</w:t>
      </w:r>
    </w:p>
    <w:p>
      <w:pPr>
        <w:ind w:firstLine="480"/>
        <w:rPr>
          <w:snapToGrid w:val="0"/>
          <w:szCs w:val="21"/>
          <w:lang w:val="zh-CN"/>
        </w:rPr>
      </w:pPr>
      <w:r>
        <w:rPr>
          <w:rFonts w:hint="eastAsia"/>
          <w:snapToGrid w:val="0"/>
          <w:szCs w:val="21"/>
          <w:lang w:val="zh-CN"/>
        </w:rPr>
        <w:t>14.</w:t>
      </w:r>
      <w:r>
        <w:rPr>
          <w:snapToGrid w:val="0"/>
          <w:szCs w:val="21"/>
          <w:lang w:val="zh-CN"/>
        </w:rPr>
        <w:t>3</w:t>
      </w:r>
      <w:r>
        <w:rPr>
          <w:rFonts w:hint="eastAsia"/>
          <w:snapToGrid w:val="0"/>
          <w:szCs w:val="21"/>
          <w:lang w:val="zh-CN"/>
        </w:rPr>
        <w:t>谈判小组按照竞争性磋商文件确定的步骤及方法供应商就采购需求进行综合谈判。</w:t>
      </w:r>
    </w:p>
    <w:p>
      <w:pPr>
        <w:ind w:firstLine="480"/>
        <w:rPr>
          <w:snapToGrid w:val="0"/>
          <w:szCs w:val="21"/>
          <w:lang w:val="zh-CN"/>
        </w:rPr>
      </w:pPr>
      <w:r>
        <w:rPr>
          <w:rFonts w:hint="eastAsia"/>
          <w:snapToGrid w:val="0"/>
          <w:szCs w:val="21"/>
          <w:lang w:val="zh-CN"/>
        </w:rPr>
        <w:t>15、谈判</w:t>
      </w:r>
    </w:p>
    <w:p>
      <w:pPr>
        <w:ind w:firstLine="480"/>
        <w:rPr>
          <w:snapToGrid w:val="0"/>
          <w:szCs w:val="21"/>
          <w:lang w:val="zh-CN"/>
        </w:rPr>
      </w:pPr>
      <w:r>
        <w:rPr>
          <w:rFonts w:hint="eastAsia"/>
          <w:snapToGrid w:val="0"/>
          <w:szCs w:val="21"/>
          <w:lang w:val="zh-CN"/>
        </w:rPr>
        <w:t>15.</w:t>
      </w:r>
      <w:r>
        <w:rPr>
          <w:snapToGrid w:val="0"/>
          <w:szCs w:val="21"/>
          <w:lang w:val="zh-CN"/>
        </w:rPr>
        <w:t>1</w:t>
      </w:r>
      <w:r>
        <w:rPr>
          <w:rFonts w:hint="eastAsia"/>
          <w:snapToGrid w:val="0"/>
          <w:szCs w:val="21"/>
          <w:lang w:val="zh-CN"/>
        </w:rPr>
        <w:t>采购小组对供应商授权代表身份进行验证。供应商授权代表身份与响应文件不符的，采购小组拒绝与之谈判。</w:t>
      </w:r>
    </w:p>
    <w:p>
      <w:pPr>
        <w:ind w:firstLine="480"/>
        <w:rPr>
          <w:snapToGrid w:val="0"/>
          <w:szCs w:val="21"/>
          <w:lang w:val="zh-CN"/>
        </w:rPr>
      </w:pPr>
      <w:r>
        <w:rPr>
          <w:rFonts w:hint="eastAsia"/>
          <w:snapToGrid w:val="0"/>
          <w:szCs w:val="21"/>
          <w:lang w:val="zh-CN"/>
        </w:rPr>
        <w:t>15.</w:t>
      </w:r>
      <w:r>
        <w:rPr>
          <w:snapToGrid w:val="0"/>
          <w:szCs w:val="21"/>
          <w:lang w:val="zh-CN"/>
        </w:rPr>
        <w:t>2</w:t>
      </w:r>
      <w:r>
        <w:rPr>
          <w:rFonts w:hint="eastAsia"/>
          <w:snapToGrid w:val="0"/>
          <w:szCs w:val="21"/>
          <w:lang w:val="zh-CN"/>
        </w:rPr>
        <w:t>供应商授权代表身份与响应文件相符的，采购小组按照采购文件要求和谈判方案，遵循物有所值和价格合理的原则，与供应商谈判。谈判中，供应商可以对响应文件进行修改。</w:t>
      </w:r>
    </w:p>
    <w:p>
      <w:pPr>
        <w:ind w:firstLine="480"/>
        <w:rPr>
          <w:snapToGrid w:val="0"/>
          <w:szCs w:val="21"/>
          <w:lang w:val="zh-CN"/>
        </w:rPr>
      </w:pPr>
      <w:r>
        <w:rPr>
          <w:rFonts w:hint="eastAsia"/>
          <w:snapToGrid w:val="0"/>
          <w:szCs w:val="21"/>
          <w:lang w:val="zh-CN"/>
        </w:rPr>
        <w:t>15.</w:t>
      </w:r>
      <w:r>
        <w:rPr>
          <w:snapToGrid w:val="0"/>
          <w:szCs w:val="21"/>
          <w:lang w:val="zh-CN"/>
        </w:rPr>
        <w:t>3</w:t>
      </w:r>
      <w:r>
        <w:rPr>
          <w:rFonts w:hint="eastAsia"/>
          <w:snapToGrid w:val="0"/>
          <w:szCs w:val="21"/>
          <w:lang w:val="zh-CN"/>
        </w:rPr>
        <w:t>谈判小组就采购需求、质量和服务等内容与供应商进行综合谈判，并了解其报价组成情况。</w:t>
      </w:r>
    </w:p>
    <w:p>
      <w:pPr>
        <w:ind w:firstLine="480"/>
        <w:rPr>
          <w:snapToGrid w:val="0"/>
          <w:szCs w:val="21"/>
          <w:lang w:val="zh-CN"/>
        </w:rPr>
      </w:pPr>
      <w:r>
        <w:rPr>
          <w:rFonts w:hint="eastAsia"/>
          <w:snapToGrid w:val="0"/>
          <w:szCs w:val="21"/>
          <w:lang w:val="zh-CN"/>
        </w:rPr>
        <w:t>15.</w:t>
      </w:r>
      <w:r>
        <w:rPr>
          <w:snapToGrid w:val="0"/>
          <w:szCs w:val="21"/>
          <w:lang w:val="zh-CN"/>
        </w:rPr>
        <w:t>4</w:t>
      </w:r>
      <w:r>
        <w:rPr>
          <w:rFonts w:hint="eastAsia"/>
          <w:snapToGrid w:val="0"/>
          <w:szCs w:val="21"/>
          <w:lang w:val="zh-CN"/>
        </w:rPr>
        <w:t>谈判小组可以根据采购人的需求并就价格进行谈判。</w:t>
      </w:r>
    </w:p>
    <w:p>
      <w:pPr>
        <w:ind w:firstLine="480"/>
        <w:rPr>
          <w:snapToGrid w:val="0"/>
          <w:szCs w:val="21"/>
          <w:lang w:val="zh-CN"/>
        </w:rPr>
      </w:pPr>
      <w:r>
        <w:rPr>
          <w:rFonts w:hint="eastAsia"/>
          <w:snapToGrid w:val="0"/>
          <w:szCs w:val="21"/>
          <w:lang w:val="zh-CN"/>
        </w:rPr>
        <w:t>15.</w:t>
      </w:r>
      <w:r>
        <w:rPr>
          <w:snapToGrid w:val="0"/>
          <w:szCs w:val="21"/>
          <w:lang w:val="zh-CN"/>
        </w:rPr>
        <w:t>5</w:t>
      </w:r>
      <w:r>
        <w:rPr>
          <w:rFonts w:hint="eastAsia"/>
          <w:snapToGrid w:val="0"/>
          <w:szCs w:val="21"/>
          <w:lang w:val="zh-CN"/>
        </w:rPr>
        <w:t>谈判小组以书面形式形成谈判情况记录。</w:t>
      </w:r>
    </w:p>
    <w:p>
      <w:pPr>
        <w:ind w:firstLine="480"/>
        <w:rPr>
          <w:snapToGrid w:val="0"/>
          <w:szCs w:val="21"/>
          <w:lang w:val="zh-CN"/>
        </w:rPr>
      </w:pPr>
      <w:r>
        <w:rPr>
          <w:rFonts w:hint="eastAsia"/>
          <w:snapToGrid w:val="0"/>
          <w:szCs w:val="21"/>
          <w:lang w:val="zh-CN"/>
        </w:rPr>
        <w:t>16、本次谈判采取1轮谈判2次报价的方式。在供应商提供的货物质量、数量和服务均能满足采购需求、最终报价不高于采购预算的，谈判小组确认采购成交，出具谈判结果报告。</w:t>
      </w:r>
    </w:p>
    <w:p>
      <w:pPr>
        <w:ind w:firstLine="480"/>
        <w:rPr>
          <w:snapToGrid w:val="0"/>
          <w:szCs w:val="21"/>
          <w:lang w:val="zh-CN"/>
        </w:rPr>
      </w:pPr>
      <w:r>
        <w:rPr>
          <w:rFonts w:hint="eastAsia"/>
          <w:snapToGrid w:val="0"/>
          <w:szCs w:val="21"/>
          <w:lang w:val="zh-CN"/>
        </w:rPr>
        <w:t>16.1第一轮谈判。谈判小组所有成员集中与单一报价方进行谈判，报价方派代表参加（法定代表人或授权代表及技术人员必须参加）。</w:t>
      </w:r>
    </w:p>
    <w:p>
      <w:pPr>
        <w:ind w:firstLine="480"/>
        <w:rPr>
          <w:snapToGrid w:val="0"/>
          <w:szCs w:val="21"/>
          <w:lang w:val="zh-CN"/>
        </w:rPr>
      </w:pPr>
      <w:r>
        <w:rPr>
          <w:rFonts w:hint="eastAsia"/>
          <w:snapToGrid w:val="0"/>
          <w:szCs w:val="21"/>
          <w:lang w:val="zh-CN"/>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招标代理机构审核确认，并将变更的内容书面通知参加谈判的供应商。</w:t>
      </w:r>
    </w:p>
    <w:p>
      <w:pPr>
        <w:ind w:firstLine="480"/>
        <w:rPr>
          <w:snapToGrid w:val="0"/>
          <w:szCs w:val="21"/>
          <w:lang w:val="zh-CN"/>
        </w:rPr>
      </w:pPr>
      <w:r>
        <w:rPr>
          <w:rFonts w:hint="eastAsia"/>
          <w:snapToGrid w:val="0"/>
          <w:szCs w:val="21"/>
          <w:lang w:val="zh-CN"/>
        </w:rPr>
        <w:t>谈判过程中，报价方可以根据谈判情况变更其技术、商务响应内容，并将变更内容形成书面材料，作为报价文件的一部分送谈判小组。供应商书面变更材料应当由其法定代表人或者授权代表签字确认。</w:t>
      </w:r>
    </w:p>
    <w:p>
      <w:pPr>
        <w:ind w:firstLine="480"/>
        <w:rPr>
          <w:snapToGrid w:val="0"/>
          <w:szCs w:val="21"/>
          <w:lang w:val="zh-CN"/>
        </w:rPr>
      </w:pPr>
      <w:r>
        <w:rPr>
          <w:rFonts w:hint="eastAsia"/>
          <w:snapToGrid w:val="0"/>
          <w:szCs w:val="21"/>
          <w:lang w:val="zh-CN"/>
        </w:rPr>
        <w:t>16.2第二次报价。报价文件中的报价即为报价方第一次报价。在上述谈判基础上，报价方在谈判室外独立填写《第二次报价表》和澄清承诺，并由其法定代表人或者其授权代表签字确认，在规定时间内密封递交采购代理机构工作人员。并以此报价和所有澄清承诺作为最终评审依据。</w:t>
      </w:r>
    </w:p>
    <w:p>
      <w:pPr>
        <w:ind w:firstLine="480"/>
        <w:rPr>
          <w:snapToGrid w:val="0"/>
          <w:szCs w:val="21"/>
          <w:lang w:val="zh-CN"/>
        </w:rPr>
      </w:pPr>
      <w:r>
        <w:rPr>
          <w:rFonts w:hint="eastAsia"/>
          <w:snapToGrid w:val="0"/>
          <w:szCs w:val="21"/>
          <w:lang w:val="zh-CN"/>
        </w:rPr>
        <w:t>17、供应商提供的货物质量、数量和服务不能满足采购要求、最终报价高于采购预算的，经谈判不能达成一致，采购人需要调整采购项目预算额或采购项目配置标准的，报主管部门审批同意后采购人继续谈判；采购人不能调整预算额或采购项目配置标准的，采购项目取消。</w:t>
      </w:r>
    </w:p>
    <w:p>
      <w:pPr>
        <w:ind w:firstLine="480"/>
        <w:rPr>
          <w:snapToGrid w:val="0"/>
          <w:szCs w:val="21"/>
          <w:lang w:val="zh-CN"/>
        </w:rPr>
      </w:pPr>
      <w:r>
        <w:rPr>
          <w:rFonts w:hint="eastAsia"/>
          <w:snapToGrid w:val="0"/>
          <w:szCs w:val="21"/>
          <w:lang w:val="zh-CN"/>
        </w:rPr>
        <w:t>18、其他事宜在谈判过程中确定，谈判过程由采购人指定专人负责记录，并存档备查。</w:t>
      </w:r>
    </w:p>
    <w:p>
      <w:pPr>
        <w:ind w:firstLine="480"/>
        <w:rPr>
          <w:snapToGrid w:val="0"/>
          <w:szCs w:val="21"/>
          <w:lang w:val="zh-CN"/>
        </w:rPr>
      </w:pPr>
      <w:r>
        <w:rPr>
          <w:rFonts w:hint="eastAsia"/>
          <w:snapToGrid w:val="0"/>
          <w:szCs w:val="21"/>
          <w:lang w:val="zh-CN"/>
        </w:rPr>
        <w:t>19、确定成交供应商</w:t>
      </w:r>
    </w:p>
    <w:p>
      <w:pPr>
        <w:ind w:firstLine="480"/>
        <w:rPr>
          <w:snapToGrid w:val="0"/>
          <w:szCs w:val="21"/>
          <w:lang w:val="zh-CN"/>
        </w:rPr>
      </w:pPr>
      <w:r>
        <w:rPr>
          <w:rFonts w:hint="eastAsia"/>
          <w:snapToGrid w:val="0"/>
          <w:szCs w:val="21"/>
          <w:lang w:val="zh-CN"/>
        </w:rPr>
        <w:t>采购代理机构在谈判结束后将谈判结果报告送采购人，采购人收到谈判情况记录后五个工作日内根据谈判结果确定成交供应商，也可以事先授权谈判小组直接确定成交供应商。</w:t>
      </w:r>
    </w:p>
    <w:p>
      <w:pPr>
        <w:ind w:firstLine="480"/>
        <w:rPr>
          <w:snapToGrid w:val="0"/>
          <w:szCs w:val="21"/>
          <w:lang w:val="zh-CN"/>
        </w:rPr>
      </w:pPr>
      <w:r>
        <w:rPr>
          <w:rFonts w:hint="eastAsia"/>
          <w:snapToGrid w:val="0"/>
          <w:szCs w:val="21"/>
          <w:lang w:val="zh-CN"/>
        </w:rPr>
        <w:t>20、发布采购成交结果公告和发出成交通知书</w:t>
      </w:r>
    </w:p>
    <w:p>
      <w:pPr>
        <w:ind w:firstLine="480"/>
        <w:rPr>
          <w:snapToGrid w:val="0"/>
          <w:szCs w:val="21"/>
          <w:lang w:val="zh-CN"/>
        </w:rPr>
      </w:pPr>
      <w:r>
        <w:rPr>
          <w:rFonts w:hint="eastAsia"/>
          <w:snapToGrid w:val="0"/>
          <w:szCs w:val="21"/>
          <w:lang w:val="zh-CN"/>
        </w:rPr>
        <w:t>成交供应商确定后，采购人或采购代理机构在指定媒体上公示采购成交结果并发出成交通知书。</w:t>
      </w:r>
    </w:p>
    <w:p>
      <w:pPr>
        <w:ind w:firstLine="480"/>
        <w:rPr>
          <w:snapToGrid w:val="0"/>
          <w:szCs w:val="21"/>
          <w:lang w:val="zh-CN"/>
        </w:rPr>
      </w:pPr>
      <w:r>
        <w:rPr>
          <w:rFonts w:hint="eastAsia"/>
          <w:snapToGrid w:val="0"/>
          <w:szCs w:val="21"/>
          <w:lang w:val="zh-CN"/>
        </w:rPr>
        <w:t>21、签订合同</w:t>
      </w:r>
    </w:p>
    <w:p>
      <w:pPr>
        <w:ind w:firstLine="480"/>
        <w:jc w:val="center"/>
        <w:rPr>
          <w:sz w:val="30"/>
          <w:szCs w:val="30"/>
        </w:rPr>
      </w:pPr>
      <w:r>
        <w:rPr>
          <w:rFonts w:hint="eastAsia"/>
          <w:snapToGrid w:val="0"/>
          <w:szCs w:val="21"/>
          <w:lang w:val="zh-CN"/>
        </w:rPr>
        <w:t>成交供应商在收到成交通知书后，按其规定与采购人签订供货服务合同</w:t>
      </w:r>
      <w:r>
        <w:rPr>
          <w:szCs w:val="21"/>
        </w:rPr>
        <w:br w:type="page"/>
      </w:r>
      <w:bookmarkStart w:id="4" w:name="_Toc53557930"/>
      <w:bookmarkStart w:id="5" w:name="_Toc61508197"/>
      <w:r>
        <w:rPr>
          <w:rFonts w:hint="eastAsia"/>
          <w:sz w:val="30"/>
          <w:szCs w:val="30"/>
        </w:rPr>
        <w:t>第三章  资格审查内容</w:t>
      </w:r>
      <w:bookmarkEnd w:id="4"/>
      <w:bookmarkEnd w:id="5"/>
    </w:p>
    <w:p>
      <w:pPr>
        <w:ind w:firstLine="482"/>
        <w:rPr>
          <w:b/>
          <w:bCs/>
          <w:szCs w:val="21"/>
        </w:rPr>
      </w:pPr>
      <w:bookmarkStart w:id="6" w:name="_Toc478628934"/>
      <w:r>
        <w:rPr>
          <w:rFonts w:hint="eastAsia"/>
          <w:b/>
          <w:bCs/>
          <w:szCs w:val="21"/>
        </w:rPr>
        <w:t>资格性和符合性审查</w:t>
      </w:r>
      <w:bookmarkEnd w:id="6"/>
      <w:r>
        <w:rPr>
          <w:rFonts w:hint="eastAsia"/>
          <w:b/>
          <w:bCs/>
          <w:szCs w:val="21"/>
        </w:rPr>
        <w:t>表</w:t>
      </w:r>
    </w:p>
    <w:tbl>
      <w:tblPr>
        <w:tblStyle w:val="8"/>
        <w:tblW w:w="8472" w:type="dxa"/>
        <w:tblInd w:w="0" w:type="dxa"/>
        <w:tblLayout w:type="fixed"/>
        <w:tblCellMar>
          <w:top w:w="57" w:type="dxa"/>
          <w:left w:w="108" w:type="dxa"/>
          <w:bottom w:w="57" w:type="dxa"/>
          <w:right w:w="108" w:type="dxa"/>
        </w:tblCellMar>
      </w:tblPr>
      <w:tblGrid>
        <w:gridCol w:w="590"/>
        <w:gridCol w:w="6606"/>
        <w:gridCol w:w="1276"/>
      </w:tblGrid>
      <w:tr>
        <w:tblPrEx>
          <w:tblCellMar>
            <w:top w:w="57" w:type="dxa"/>
            <w:left w:w="108" w:type="dxa"/>
            <w:bottom w:w="57" w:type="dxa"/>
            <w:right w:w="108" w:type="dxa"/>
          </w:tblCellMar>
        </w:tblPrEx>
        <w:trPr>
          <w:trHeight w:val="633"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b/>
                <w:szCs w:val="21"/>
              </w:rPr>
            </w:pPr>
            <w:r>
              <w:rPr>
                <w:rFonts w:hint="eastAsia" w:cs="仿宋"/>
                <w:b/>
                <w:szCs w:val="21"/>
              </w:rPr>
              <w:t>序号</w:t>
            </w:r>
          </w:p>
        </w:tc>
        <w:tc>
          <w:tcPr>
            <w:tcW w:w="6606"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b/>
                <w:szCs w:val="21"/>
              </w:rPr>
            </w:pPr>
            <w:r>
              <w:rPr>
                <w:rFonts w:hint="eastAsia" w:cs="仿宋"/>
                <w:b/>
                <w:szCs w:val="21"/>
              </w:rPr>
              <w:t>资格性审核内容</w:t>
            </w:r>
          </w:p>
        </w:tc>
        <w:tc>
          <w:tcPr>
            <w:tcW w:w="1276" w:type="dxa"/>
            <w:tcBorders>
              <w:top w:val="single" w:color="auto" w:sz="4" w:space="0"/>
              <w:left w:val="nil"/>
              <w:bottom w:val="single" w:color="auto" w:sz="4" w:space="0"/>
              <w:right w:val="single" w:color="auto" w:sz="4" w:space="0"/>
            </w:tcBorders>
            <w:vAlign w:val="center"/>
          </w:tcPr>
          <w:p>
            <w:pPr>
              <w:pStyle w:val="12"/>
              <w:jc w:val="center"/>
              <w:rPr>
                <w:rFonts w:cs="仿宋"/>
                <w:b/>
                <w:szCs w:val="21"/>
              </w:rPr>
            </w:pPr>
            <w:r>
              <w:rPr>
                <w:rFonts w:hint="eastAsia" w:cs="仿宋"/>
                <w:b/>
                <w:szCs w:val="21"/>
              </w:rPr>
              <w:t>供应商名称</w:t>
            </w: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cs="仿宋"/>
                <w:szCs w:val="21"/>
              </w:rPr>
              <w:t>1</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hint="eastAsia" w:cs="仿宋"/>
                <w:szCs w:val="21"/>
              </w:rPr>
              <w:t>有效的营业执照（事业单位提供事业单位法人证书，自然人提供身份证）等证明文件</w:t>
            </w:r>
            <w:r>
              <w:rPr>
                <w:rFonts w:cs="仿宋"/>
                <w:szCs w:val="21"/>
              </w:rPr>
              <w:t>，且为非外资独资或外资控股企业；</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2</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hint="eastAsia" w:cs="仿宋"/>
                <w:szCs w:val="21"/>
              </w:rPr>
              <w:t>上一年度经审计的财务报告或基本开户银行出具的资信证明文件或财务报表。</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3</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hint="eastAsia" w:cs="仿宋"/>
                <w:szCs w:val="21"/>
              </w:rPr>
              <w:t>具备履行合同所必须的设备和专业技术能力的证明材料或相关承诺。</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4</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hint="eastAsia" w:cs="仿宋"/>
                <w:szCs w:val="21"/>
              </w:rPr>
              <w:t>供应商依法缴纳税收的证明材料和依法缴纳社会保障资金的证明材料。</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5</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cs="仿宋"/>
                <w:szCs w:val="21"/>
              </w:rPr>
              <w:t>参加采购活动前三年内，在经营活动中没有重大违法记录</w:t>
            </w:r>
            <w:r>
              <w:rPr>
                <w:rFonts w:hint="eastAsia" w:cs="仿宋"/>
                <w:szCs w:val="21"/>
              </w:rPr>
              <w:t>的声明。</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6</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hint="eastAsia" w:cs="仿宋"/>
                <w:szCs w:val="21"/>
              </w:rPr>
              <w:t>“信用中国”及“中国政府采购网”网站信用记录。</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85"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b/>
                <w:szCs w:val="21"/>
              </w:rPr>
            </w:pPr>
            <w:r>
              <w:rPr>
                <w:rFonts w:hint="eastAsia" w:cs="仿宋"/>
                <w:b/>
                <w:szCs w:val="21"/>
              </w:rPr>
              <w:t>序号</w:t>
            </w:r>
          </w:p>
        </w:tc>
        <w:tc>
          <w:tcPr>
            <w:tcW w:w="6606"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b/>
                <w:szCs w:val="21"/>
              </w:rPr>
            </w:pPr>
            <w:r>
              <w:rPr>
                <w:rFonts w:hint="eastAsia" w:cs="仿宋"/>
                <w:b/>
                <w:szCs w:val="21"/>
              </w:rPr>
              <w:t>符合性审核内容</w:t>
            </w:r>
          </w:p>
        </w:tc>
        <w:tc>
          <w:tcPr>
            <w:tcW w:w="1276" w:type="dxa"/>
            <w:tcBorders>
              <w:top w:val="single" w:color="auto" w:sz="4" w:space="0"/>
              <w:left w:val="nil"/>
              <w:bottom w:val="single" w:color="auto" w:sz="4" w:space="0"/>
              <w:right w:val="single" w:color="auto" w:sz="4" w:space="0"/>
            </w:tcBorders>
            <w:vAlign w:val="center"/>
          </w:tcPr>
          <w:p>
            <w:pPr>
              <w:pStyle w:val="12"/>
              <w:jc w:val="center"/>
              <w:rPr>
                <w:rFonts w:cs="仿宋"/>
                <w:b/>
                <w:szCs w:val="21"/>
              </w:rPr>
            </w:pPr>
            <w:r>
              <w:rPr>
                <w:rFonts w:hint="eastAsia" w:cs="仿宋"/>
                <w:b/>
                <w:szCs w:val="21"/>
              </w:rPr>
              <w:t>/</w:t>
            </w:r>
          </w:p>
        </w:tc>
      </w:tr>
      <w:tr>
        <w:tblPrEx>
          <w:tblCellMar>
            <w:top w:w="57" w:type="dxa"/>
            <w:left w:w="108" w:type="dxa"/>
            <w:bottom w:w="57" w:type="dxa"/>
            <w:right w:w="108" w:type="dxa"/>
          </w:tblCellMar>
        </w:tblPrEx>
        <w:trPr>
          <w:trHeight w:val="385"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1</w:t>
            </w:r>
          </w:p>
        </w:tc>
        <w:tc>
          <w:tcPr>
            <w:tcW w:w="6606" w:type="dxa"/>
            <w:tcBorders>
              <w:top w:val="single" w:color="auto" w:sz="4" w:space="0"/>
              <w:left w:val="single" w:color="auto" w:sz="4" w:space="0"/>
              <w:bottom w:val="single" w:color="auto" w:sz="4" w:space="0"/>
              <w:right w:val="single" w:color="auto" w:sz="4" w:space="0"/>
            </w:tcBorders>
            <w:vAlign w:val="center"/>
          </w:tcPr>
          <w:p>
            <w:pPr>
              <w:pStyle w:val="12"/>
              <w:rPr>
                <w:rFonts w:cs="仿宋"/>
                <w:szCs w:val="21"/>
              </w:rPr>
            </w:pPr>
            <w:r>
              <w:rPr>
                <w:rFonts w:hint="eastAsia" w:cs="仿宋"/>
                <w:szCs w:val="21"/>
              </w:rPr>
              <w:t>响应文件按照采购文件要求密封、签署、盖章。</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nil"/>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2</w:t>
            </w:r>
          </w:p>
        </w:tc>
        <w:tc>
          <w:tcPr>
            <w:tcW w:w="6606" w:type="dxa"/>
            <w:tcBorders>
              <w:top w:val="nil"/>
              <w:left w:val="nil"/>
              <w:bottom w:val="single" w:color="auto" w:sz="4" w:space="0"/>
              <w:right w:val="single" w:color="auto" w:sz="4" w:space="0"/>
            </w:tcBorders>
            <w:vAlign w:val="center"/>
          </w:tcPr>
          <w:p>
            <w:pPr>
              <w:pStyle w:val="12"/>
              <w:rPr>
                <w:rFonts w:cs="仿宋"/>
                <w:szCs w:val="21"/>
              </w:rPr>
            </w:pPr>
            <w:r>
              <w:rPr>
                <w:rFonts w:hint="eastAsia" w:cs="仿宋"/>
                <w:szCs w:val="21"/>
              </w:rPr>
              <w:t>按照采购文件要求进行报价，报价未超过总预算金额或各品目预算金额。</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3</w:t>
            </w:r>
          </w:p>
        </w:tc>
        <w:tc>
          <w:tcPr>
            <w:tcW w:w="6606" w:type="dxa"/>
            <w:tcBorders>
              <w:top w:val="single" w:color="auto" w:sz="4" w:space="0"/>
              <w:left w:val="nil"/>
              <w:bottom w:val="single" w:color="auto" w:sz="4" w:space="0"/>
              <w:right w:val="single" w:color="auto" w:sz="4" w:space="0"/>
            </w:tcBorders>
            <w:vAlign w:val="center"/>
          </w:tcPr>
          <w:p>
            <w:pPr>
              <w:pStyle w:val="12"/>
              <w:rPr>
                <w:rFonts w:cs="仿宋"/>
                <w:szCs w:val="21"/>
              </w:rPr>
            </w:pPr>
            <w:r>
              <w:rPr>
                <w:rFonts w:hint="eastAsia" w:cs="仿宋"/>
                <w:szCs w:val="21"/>
              </w:rPr>
              <w:t>响应文件有效期满足采购文件要求。</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4</w:t>
            </w:r>
          </w:p>
        </w:tc>
        <w:tc>
          <w:tcPr>
            <w:tcW w:w="6606" w:type="dxa"/>
            <w:tcBorders>
              <w:top w:val="single" w:color="auto" w:sz="4" w:space="0"/>
              <w:left w:val="nil"/>
              <w:bottom w:val="single" w:color="auto" w:sz="4" w:space="0"/>
              <w:right w:val="single" w:color="auto" w:sz="4" w:space="0"/>
            </w:tcBorders>
            <w:vAlign w:val="center"/>
          </w:tcPr>
          <w:p>
            <w:pPr>
              <w:pStyle w:val="12"/>
              <w:rPr>
                <w:rFonts w:cs="仿宋"/>
                <w:szCs w:val="21"/>
              </w:rPr>
            </w:pPr>
            <w:r>
              <w:rPr>
                <w:rFonts w:hint="eastAsia" w:cs="仿宋"/>
                <w:szCs w:val="21"/>
              </w:rPr>
              <w:t>响应文件关于合同履行期限的响应符合采购文件要求。</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5</w:t>
            </w:r>
          </w:p>
        </w:tc>
        <w:tc>
          <w:tcPr>
            <w:tcW w:w="6606" w:type="dxa"/>
            <w:tcBorders>
              <w:top w:val="single" w:color="auto" w:sz="4" w:space="0"/>
              <w:left w:val="nil"/>
              <w:bottom w:val="single" w:color="auto" w:sz="4" w:space="0"/>
              <w:right w:val="single" w:color="auto" w:sz="4" w:space="0"/>
            </w:tcBorders>
            <w:vAlign w:val="center"/>
          </w:tcPr>
          <w:p>
            <w:pPr>
              <w:pStyle w:val="12"/>
              <w:rPr>
                <w:rFonts w:cs="仿宋"/>
                <w:szCs w:val="21"/>
              </w:rPr>
            </w:pPr>
            <w:r>
              <w:rPr>
                <w:rFonts w:hint="eastAsia" w:cs="仿宋"/>
                <w:szCs w:val="21"/>
              </w:rPr>
              <w:t>按规定获取采购文件。</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6</w:t>
            </w:r>
          </w:p>
        </w:tc>
        <w:tc>
          <w:tcPr>
            <w:tcW w:w="6606" w:type="dxa"/>
            <w:tcBorders>
              <w:top w:val="single" w:color="auto" w:sz="4" w:space="0"/>
              <w:left w:val="nil"/>
              <w:bottom w:val="single" w:color="auto" w:sz="4" w:space="0"/>
              <w:right w:val="single" w:color="auto" w:sz="4" w:space="0"/>
            </w:tcBorders>
            <w:vAlign w:val="center"/>
          </w:tcPr>
          <w:p>
            <w:pPr>
              <w:pStyle w:val="12"/>
              <w:rPr>
                <w:rFonts w:cs="仿宋"/>
                <w:szCs w:val="21"/>
              </w:rPr>
            </w:pPr>
            <w:r>
              <w:rPr>
                <w:rFonts w:hint="eastAsia" w:cs="仿宋"/>
                <w:szCs w:val="21"/>
              </w:rPr>
              <w:t>响应文件未附有采购人不能接受的条件。</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7</w:t>
            </w:r>
          </w:p>
        </w:tc>
        <w:tc>
          <w:tcPr>
            <w:tcW w:w="6606" w:type="dxa"/>
            <w:tcBorders>
              <w:top w:val="single" w:color="auto" w:sz="4" w:space="0"/>
              <w:left w:val="nil"/>
              <w:bottom w:val="single" w:color="auto" w:sz="4" w:space="0"/>
              <w:right w:val="single" w:color="auto" w:sz="4" w:space="0"/>
            </w:tcBorders>
            <w:vAlign w:val="center"/>
          </w:tcPr>
          <w:p>
            <w:pPr>
              <w:pStyle w:val="12"/>
              <w:rPr>
                <w:rFonts w:cs="仿宋"/>
                <w:szCs w:val="21"/>
              </w:rPr>
            </w:pPr>
            <w:r>
              <w:rPr>
                <w:rFonts w:hint="eastAsia" w:cs="仿宋"/>
                <w:szCs w:val="21"/>
              </w:rPr>
              <w:t>采购文件规定的其他实质性要求。</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7196" w:type="dxa"/>
            <w:gridSpan w:val="2"/>
            <w:tcBorders>
              <w:top w:val="single" w:color="auto" w:sz="4" w:space="0"/>
              <w:left w:val="single" w:color="auto" w:sz="4" w:space="0"/>
              <w:bottom w:val="single" w:color="auto" w:sz="4" w:space="0"/>
              <w:right w:val="single" w:color="auto" w:sz="4" w:space="0"/>
            </w:tcBorders>
            <w:vAlign w:val="center"/>
          </w:tcPr>
          <w:p>
            <w:pPr>
              <w:pStyle w:val="12"/>
              <w:rPr>
                <w:rFonts w:cs="仿宋"/>
                <w:b/>
                <w:szCs w:val="21"/>
              </w:rPr>
            </w:pPr>
            <w:r>
              <w:rPr>
                <w:rFonts w:hint="eastAsia" w:cs="仿宋"/>
                <w:b/>
                <w:szCs w:val="21"/>
              </w:rPr>
              <w:t>审核结论</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bl>
    <w:p>
      <w:pPr>
        <w:ind w:firstLine="480"/>
        <w:rPr>
          <w:szCs w:val="21"/>
        </w:rPr>
      </w:pPr>
      <w:r>
        <w:rPr>
          <w:rFonts w:hint="eastAsia"/>
          <w:szCs w:val="21"/>
        </w:rPr>
        <w:t xml:space="preserve">说明： </w:t>
      </w:r>
    </w:p>
    <w:p>
      <w:pPr>
        <w:ind w:firstLine="480"/>
        <w:rPr>
          <w:szCs w:val="21"/>
        </w:rPr>
      </w:pPr>
      <w:r>
        <w:rPr>
          <w:rFonts w:hint="eastAsia"/>
          <w:szCs w:val="21"/>
        </w:rPr>
        <w:t>1、谈判小组分别对每一响应文件依据上表进行检查。</w:t>
      </w:r>
    </w:p>
    <w:p>
      <w:pPr>
        <w:ind w:firstLine="480"/>
        <w:rPr>
          <w:szCs w:val="21"/>
        </w:rPr>
      </w:pPr>
      <w:r>
        <w:rPr>
          <w:rFonts w:hint="eastAsia"/>
          <w:szCs w:val="21"/>
        </w:rPr>
        <w:t>2、满足要求的条款打“√”，否则为“×”。</w:t>
      </w:r>
    </w:p>
    <w:p>
      <w:pPr>
        <w:ind w:firstLine="482"/>
        <w:rPr>
          <w:b/>
          <w:bCs/>
          <w:szCs w:val="21"/>
        </w:rPr>
      </w:pPr>
      <w:r>
        <w:rPr>
          <w:rFonts w:hint="eastAsia"/>
          <w:b/>
          <w:bCs/>
          <w:szCs w:val="21"/>
        </w:rPr>
        <w:t>3、响应文件中有任意一条不满足上表要求的将导致其响应无效，不进入下一项评审。</w:t>
      </w:r>
    </w:p>
    <w:p>
      <w:pPr>
        <w:pStyle w:val="7"/>
        <w:rPr>
          <w:rFonts w:ascii="仿宋" w:hAnsi="仿宋"/>
          <w:sz w:val="30"/>
          <w:szCs w:val="30"/>
        </w:rPr>
      </w:pPr>
      <w:r>
        <w:rPr>
          <w:rFonts w:ascii="仿宋" w:hAnsi="仿宋"/>
          <w:sz w:val="21"/>
          <w:szCs w:val="21"/>
        </w:rPr>
        <w:br w:type="page"/>
      </w:r>
      <w:bookmarkStart w:id="7" w:name="_Toc53557931"/>
      <w:bookmarkStart w:id="8" w:name="_Toc61508198"/>
      <w:r>
        <w:rPr>
          <w:rFonts w:hint="eastAsia" w:ascii="仿宋" w:hAnsi="仿宋"/>
          <w:sz w:val="30"/>
          <w:szCs w:val="30"/>
        </w:rPr>
        <w:t>第四章  采购需求</w:t>
      </w:r>
      <w:bookmarkEnd w:id="7"/>
      <w:bookmarkEnd w:id="8"/>
    </w:p>
    <w:p>
      <w:pPr>
        <w:autoSpaceDE w:val="0"/>
        <w:autoSpaceDN w:val="0"/>
        <w:adjustRightInd w:val="0"/>
        <w:rPr>
          <w:b/>
          <w:szCs w:val="21"/>
          <w:lang w:val="zh-CN"/>
        </w:rPr>
      </w:pPr>
      <w:r>
        <w:rPr>
          <w:rFonts w:hint="eastAsia"/>
          <w:b/>
          <w:szCs w:val="21"/>
          <w:lang w:val="zh-CN"/>
        </w:rPr>
        <w:t>一、项目概况</w:t>
      </w:r>
    </w:p>
    <w:p>
      <w:pPr>
        <w:autoSpaceDE w:val="0"/>
        <w:autoSpaceDN w:val="0"/>
        <w:adjustRightInd w:val="0"/>
        <w:ind w:left="1470" w:leftChars="200" w:hanging="1050" w:hangingChars="500"/>
        <w:rPr>
          <w:szCs w:val="21"/>
        </w:rPr>
      </w:pPr>
      <w:r>
        <w:rPr>
          <w:rFonts w:hint="eastAsia"/>
          <w:szCs w:val="21"/>
          <w:lang w:val="zh-CN"/>
        </w:rPr>
        <w:t>项目名称：</w:t>
      </w:r>
      <w:r>
        <w:rPr>
          <w:rFonts w:hint="eastAsia"/>
          <w:szCs w:val="21"/>
        </w:rPr>
        <w:t>黄石市中心医院CCU及心内科智慧病房维保服务项目</w:t>
      </w:r>
    </w:p>
    <w:p>
      <w:pPr>
        <w:autoSpaceDE w:val="0"/>
        <w:autoSpaceDN w:val="0"/>
        <w:adjustRightInd w:val="0"/>
        <w:ind w:firstLine="480"/>
        <w:rPr>
          <w:szCs w:val="21"/>
        </w:rPr>
      </w:pPr>
      <w:r>
        <w:rPr>
          <w:rFonts w:hint="eastAsia"/>
          <w:szCs w:val="21"/>
          <w:lang w:val="zh-CN"/>
        </w:rPr>
        <w:t>采购方式：竞争性磋商采购</w:t>
      </w:r>
    </w:p>
    <w:p>
      <w:pPr>
        <w:autoSpaceDE w:val="0"/>
        <w:autoSpaceDN w:val="0"/>
        <w:adjustRightInd w:val="0"/>
        <w:ind w:firstLine="480"/>
        <w:rPr>
          <w:szCs w:val="21"/>
        </w:rPr>
      </w:pPr>
      <w:r>
        <w:rPr>
          <w:rFonts w:hint="eastAsia"/>
          <w:szCs w:val="21"/>
          <w:lang w:val="zh-CN"/>
        </w:rPr>
        <w:t>项目预算：</w:t>
      </w:r>
      <w:r>
        <w:rPr>
          <w:szCs w:val="21"/>
        </w:rPr>
        <w:t>5</w:t>
      </w:r>
      <w:r>
        <w:rPr>
          <w:rFonts w:hint="eastAsia"/>
          <w:szCs w:val="21"/>
        </w:rPr>
        <w:t>万元</w:t>
      </w:r>
    </w:p>
    <w:p>
      <w:pPr>
        <w:autoSpaceDE w:val="0"/>
        <w:autoSpaceDN w:val="0"/>
        <w:adjustRightInd w:val="0"/>
        <w:ind w:firstLine="480"/>
        <w:rPr>
          <w:b/>
          <w:szCs w:val="21"/>
        </w:rPr>
      </w:pPr>
      <w:r>
        <w:rPr>
          <w:rFonts w:hint="eastAsia"/>
          <w:szCs w:val="21"/>
        </w:rPr>
        <w:t>服务期</w:t>
      </w:r>
      <w:r>
        <w:rPr>
          <w:rFonts w:hint="eastAsia"/>
          <w:szCs w:val="21"/>
          <w:lang w:val="zh-CN"/>
        </w:rPr>
        <w:t>：</w:t>
      </w:r>
      <w:r>
        <w:rPr>
          <w:rFonts w:hint="eastAsia"/>
          <w:szCs w:val="21"/>
        </w:rPr>
        <w:t xml:space="preserve"> </w:t>
      </w:r>
      <w:r>
        <w:rPr>
          <w:szCs w:val="21"/>
        </w:rPr>
        <w:t>1</w:t>
      </w:r>
      <w:r>
        <w:rPr>
          <w:rFonts w:hint="eastAsia"/>
          <w:szCs w:val="21"/>
          <w:lang w:val="zh-CN"/>
        </w:rPr>
        <w:t>年</w:t>
      </w:r>
    </w:p>
    <w:p>
      <w:pPr>
        <w:spacing w:line="276" w:lineRule="auto"/>
        <w:rPr>
          <w:rFonts w:ascii="微软雅黑" w:hAnsi="微软雅黑" w:eastAsia="微软雅黑"/>
          <w:b/>
          <w:szCs w:val="21"/>
        </w:rPr>
      </w:pPr>
      <w:r>
        <w:rPr>
          <w:rFonts w:hint="eastAsia" w:ascii="微软雅黑" w:hAnsi="微软雅黑" w:eastAsia="微软雅黑"/>
          <w:b/>
          <w:szCs w:val="21"/>
        </w:rPr>
        <w:t>二、技术参数：</w:t>
      </w:r>
    </w:p>
    <w:p>
      <w:pPr>
        <w:spacing w:line="276" w:lineRule="auto"/>
        <w:rPr>
          <w:rFonts w:ascii="微软雅黑" w:hAnsi="微软雅黑" w:eastAsia="微软雅黑"/>
          <w:b/>
          <w:szCs w:val="21"/>
        </w:rPr>
      </w:pPr>
      <w:r>
        <w:rPr>
          <w:rFonts w:hint="eastAsia" w:ascii="微软雅黑" w:hAnsi="微软雅黑" w:eastAsia="微软雅黑"/>
          <w:b/>
          <w:szCs w:val="21"/>
        </w:rPr>
        <w:t>维保硬件清单</w:t>
      </w:r>
    </w:p>
    <w:tbl>
      <w:tblPr>
        <w:tblStyle w:val="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670"/>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产品名称</w:t>
            </w:r>
          </w:p>
        </w:tc>
        <w:tc>
          <w:tcPr>
            <w:tcW w:w="5670" w:type="dxa"/>
          </w:tcPr>
          <w:p>
            <w:pPr>
              <w:widowControl/>
              <w:rPr>
                <w:rFonts w:ascii="宋体" w:hAnsi="宋体"/>
              </w:rPr>
            </w:pPr>
            <w:r>
              <w:rPr>
                <w:rFonts w:hint="eastAsia" w:ascii="宋体" w:hAnsi="宋体"/>
              </w:rPr>
              <w:t>规格型号</w:t>
            </w:r>
          </w:p>
        </w:tc>
        <w:tc>
          <w:tcPr>
            <w:tcW w:w="1134" w:type="dxa"/>
          </w:tcPr>
          <w:p>
            <w:pPr>
              <w:widowControl/>
              <w:rPr>
                <w:rFonts w:ascii="宋体" w:hAnsi="宋体"/>
              </w:rPr>
            </w:pPr>
            <w:r>
              <w:rPr>
                <w:rFonts w:hint="eastAsia" w:ascii="宋体" w:hAnsi="宋体"/>
              </w:rPr>
              <w:t>品牌</w:t>
            </w:r>
          </w:p>
          <w:p>
            <w:pPr>
              <w:widowControl/>
              <w:jc w:val="left"/>
              <w:rPr>
                <w:rFonts w:ascii="宋体" w:hAnsi="宋体"/>
              </w:rPr>
            </w:pPr>
            <w:r>
              <w:rPr>
                <w:rFonts w:hint="eastAsia" w:ascii="宋体" w:hAnsi="宋体"/>
              </w:rPr>
              <w:t>生产厂家</w:t>
            </w:r>
          </w:p>
        </w:tc>
        <w:tc>
          <w:tcPr>
            <w:tcW w:w="851" w:type="dxa"/>
          </w:tcPr>
          <w:p>
            <w:pPr>
              <w:widowControl/>
              <w:rPr>
                <w:rFonts w:ascii="宋体" w:hAnsi="宋体"/>
              </w:rPr>
            </w:pPr>
            <w:r>
              <w:rPr>
                <w:rFonts w:hint="eastAsia" w:ascii="宋体" w:hAns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ascii="宋体" w:hAnsi="宋体"/>
              </w:rPr>
              <w:t>M1智慧床边呼叫盘</w:t>
            </w:r>
          </w:p>
        </w:tc>
        <w:tc>
          <w:tcPr>
            <w:tcW w:w="5670" w:type="dxa"/>
          </w:tcPr>
          <w:p>
            <w:pPr>
              <w:widowControl/>
              <w:rPr>
                <w:rFonts w:ascii="宋体" w:hAnsi="宋体"/>
              </w:rPr>
            </w:pPr>
            <w:r>
              <w:rPr>
                <w:rFonts w:ascii="宋体" w:hAnsi="宋体"/>
              </w:rPr>
              <w:t>(1)内建喇叭、麦克风。(2)提供双向语音与广播功能。(3)网络传输方式: 有线网络。(4)电源供应方式: 网络供电(PoE)。(5)支持一般呼叫、紧急呼叫、协助、取消，并可与床边AIO系统整合，将病患各种的呼叫需求推送到护士站显示面板及护理师手机。(6)内建运算与通讯功能，为建构智能病房物联网的核心单元。（7）内置蓝牙与WiFi功能。</w:t>
            </w:r>
          </w:p>
        </w:tc>
        <w:tc>
          <w:tcPr>
            <w:tcW w:w="1134" w:type="dxa"/>
          </w:tcPr>
          <w:p>
            <w:pPr>
              <w:widowControl/>
              <w:rPr>
                <w:rFonts w:ascii="宋体" w:hAnsi="宋体"/>
              </w:rPr>
            </w:pPr>
            <w:r>
              <w:rPr>
                <w:rFonts w:hint="eastAsia" w:ascii="宋体" w:hAnsi="宋体"/>
              </w:rPr>
              <w:t>Melten由昉</w:t>
            </w:r>
          </w:p>
        </w:tc>
        <w:tc>
          <w:tcPr>
            <w:tcW w:w="851" w:type="dxa"/>
          </w:tcPr>
          <w:p>
            <w:pPr>
              <w:widowControl/>
              <w:rPr>
                <w:rFonts w:ascii="宋体" w:hAnsi="宋体"/>
              </w:rPr>
            </w:pPr>
            <w:r>
              <w:rPr>
                <w:rFonts w:ascii="宋体" w:hAnsi="宋体"/>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多功能延长呼叫绳</w:t>
            </w:r>
          </w:p>
        </w:tc>
        <w:tc>
          <w:tcPr>
            <w:tcW w:w="5670" w:type="dxa"/>
          </w:tcPr>
          <w:p>
            <w:pPr>
              <w:widowControl/>
              <w:rPr>
                <w:rFonts w:ascii="宋体" w:hAnsi="宋体"/>
              </w:rPr>
            </w:pPr>
            <w:r>
              <w:rPr>
                <w:rFonts w:ascii="宋体" w:hAnsi="宋体"/>
              </w:rPr>
              <w:t>(1)呼叫线末端有呼叫按钮，一体成型设计。(2)手握式延长呼叫钮上附固定夹，可固定呼叫钮末端防止掉落。</w:t>
            </w:r>
          </w:p>
        </w:tc>
        <w:tc>
          <w:tcPr>
            <w:tcW w:w="1134" w:type="dxa"/>
          </w:tcPr>
          <w:p>
            <w:pPr>
              <w:widowControl/>
              <w:rPr>
                <w:rFonts w:ascii="宋体" w:hAnsi="宋体"/>
              </w:rPr>
            </w:pPr>
            <w:r>
              <w:rPr>
                <w:rFonts w:hint="eastAsia" w:ascii="宋体" w:hAnsi="宋体"/>
              </w:rPr>
              <w:t>Melten由昉</w:t>
            </w:r>
          </w:p>
        </w:tc>
        <w:tc>
          <w:tcPr>
            <w:tcW w:w="851" w:type="dxa"/>
          </w:tcPr>
          <w:p>
            <w:pPr>
              <w:widowControl/>
              <w:rPr>
                <w:rFonts w:ascii="宋体" w:hAnsi="宋体"/>
              </w:rPr>
            </w:pPr>
            <w:r>
              <w:rPr>
                <w:rFonts w:ascii="宋体" w:hAnsi="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浴厕紧急呼叫盘</w:t>
            </w:r>
          </w:p>
        </w:tc>
        <w:tc>
          <w:tcPr>
            <w:tcW w:w="5670" w:type="dxa"/>
          </w:tcPr>
          <w:p>
            <w:pPr>
              <w:widowControl/>
              <w:rPr>
                <w:rFonts w:ascii="宋体" w:hAnsi="宋体"/>
              </w:rPr>
            </w:pPr>
            <w:r>
              <w:rPr>
                <w:rFonts w:ascii="宋体" w:hAnsi="宋体"/>
              </w:rPr>
              <w:t>(1)面板附呼叫钮。(2)按钮可完全防水。(3)附红色呼叫确认指示灯。(4)拉绳或按钮紧急呼叫时，护理站主机、走道显示器及门口灯同时显示。(5)电源供应方式: 由床边呼叫盘以网络线供电与控制灯号行为。</w:t>
            </w:r>
          </w:p>
        </w:tc>
        <w:tc>
          <w:tcPr>
            <w:tcW w:w="1134" w:type="dxa"/>
          </w:tcPr>
          <w:p>
            <w:pPr>
              <w:widowControl/>
              <w:rPr>
                <w:rFonts w:ascii="宋体" w:hAnsi="宋体"/>
              </w:rPr>
            </w:pPr>
            <w:r>
              <w:rPr>
                <w:rFonts w:hint="eastAsia" w:ascii="宋体" w:hAnsi="宋体"/>
              </w:rPr>
              <w:t>Melten由昉</w:t>
            </w:r>
          </w:p>
        </w:tc>
        <w:tc>
          <w:tcPr>
            <w:tcW w:w="851" w:type="dxa"/>
          </w:tcPr>
          <w:p>
            <w:pPr>
              <w:widowControl/>
              <w:rPr>
                <w:rFonts w:ascii="宋体" w:hAnsi="宋体"/>
              </w:rPr>
            </w:pPr>
            <w:r>
              <w:rPr>
                <w:rFonts w:ascii="宋体" w:hAnsi="宋体"/>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门口灯</w:t>
            </w:r>
          </w:p>
        </w:tc>
        <w:tc>
          <w:tcPr>
            <w:tcW w:w="5670" w:type="dxa"/>
          </w:tcPr>
          <w:p>
            <w:pPr>
              <w:widowControl/>
              <w:rPr>
                <w:rFonts w:ascii="宋体" w:hAnsi="宋体"/>
              </w:rPr>
            </w:pPr>
            <w:r>
              <w:rPr>
                <w:rFonts w:ascii="宋体" w:hAnsi="宋体"/>
              </w:rPr>
              <w:t>(1)白色方形透光塑质压模成型。(2)浴厕紧急呼叫盘呼叫为红灯。(3)病床床头一般呼叫为绿灯。(4)电源供应方式: 由床边呼叫盘以网络线供电与控制灯号行为。</w:t>
            </w:r>
          </w:p>
        </w:tc>
        <w:tc>
          <w:tcPr>
            <w:tcW w:w="1134" w:type="dxa"/>
          </w:tcPr>
          <w:p>
            <w:pPr>
              <w:widowControl/>
              <w:rPr>
                <w:rFonts w:ascii="宋体" w:hAnsi="宋体"/>
              </w:rPr>
            </w:pPr>
            <w:r>
              <w:rPr>
                <w:rFonts w:hint="eastAsia" w:ascii="宋体" w:hAnsi="宋体"/>
              </w:rPr>
              <w:t>Melten由昉</w:t>
            </w:r>
          </w:p>
        </w:tc>
        <w:tc>
          <w:tcPr>
            <w:tcW w:w="851" w:type="dxa"/>
          </w:tcPr>
          <w:p>
            <w:pPr>
              <w:widowControl/>
              <w:rPr>
                <w:rFonts w:ascii="宋体" w:hAnsi="宋体"/>
              </w:rPr>
            </w:pPr>
            <w:r>
              <w:rPr>
                <w:rFonts w:ascii="宋体" w:hAnsi="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ascii="宋体" w:hAnsi="宋体"/>
              </w:rPr>
              <w:t>IO BOX</w:t>
            </w:r>
          </w:p>
        </w:tc>
        <w:tc>
          <w:tcPr>
            <w:tcW w:w="5670" w:type="dxa"/>
          </w:tcPr>
          <w:p>
            <w:pPr>
              <w:widowControl/>
              <w:rPr>
                <w:rFonts w:ascii="宋体" w:hAnsi="宋体"/>
              </w:rPr>
            </w:pPr>
            <w:r>
              <w:rPr>
                <w:rFonts w:hint="eastAsia" w:ascii="宋体" w:hAnsi="宋体"/>
              </w:rPr>
              <w:t>链接公厕浴厕盘和门口灯讯号。</w:t>
            </w:r>
          </w:p>
        </w:tc>
        <w:tc>
          <w:tcPr>
            <w:tcW w:w="1134" w:type="dxa"/>
          </w:tcPr>
          <w:p>
            <w:pPr>
              <w:widowControl/>
              <w:rPr>
                <w:rFonts w:ascii="宋体" w:hAnsi="宋体"/>
              </w:rPr>
            </w:pPr>
            <w:r>
              <w:rPr>
                <w:rFonts w:hint="eastAsia" w:ascii="宋体" w:hAnsi="宋体"/>
              </w:rPr>
              <w:t>Melten由昉</w:t>
            </w:r>
          </w:p>
        </w:tc>
        <w:tc>
          <w:tcPr>
            <w:tcW w:w="851" w:type="dxa"/>
          </w:tcPr>
          <w:p>
            <w:pPr>
              <w:widowControl/>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计算机主机</w:t>
            </w:r>
            <w:r>
              <w:rPr>
                <w:rFonts w:ascii="宋体" w:hAnsi="宋体"/>
              </w:rPr>
              <w:t>+21"屏幕</w:t>
            </w:r>
          </w:p>
        </w:tc>
        <w:tc>
          <w:tcPr>
            <w:tcW w:w="5670" w:type="dxa"/>
          </w:tcPr>
          <w:p>
            <w:pPr>
              <w:widowControl/>
              <w:rPr>
                <w:rFonts w:ascii="宋体" w:hAnsi="宋体"/>
              </w:rPr>
            </w:pPr>
            <w:r>
              <w:rPr>
                <w:rFonts w:hint="eastAsia" w:ascii="宋体" w:hAnsi="宋体"/>
              </w:rPr>
              <w:t>计算机主机</w:t>
            </w:r>
            <w:r>
              <w:rPr>
                <w:rFonts w:ascii="宋体" w:hAnsi="宋体"/>
              </w:rPr>
              <w:t>+21"屏幕，管理智能呼叫系统与显示呼叫床号及状态</w:t>
            </w:r>
          </w:p>
        </w:tc>
        <w:tc>
          <w:tcPr>
            <w:tcW w:w="1134" w:type="dxa"/>
          </w:tcPr>
          <w:p>
            <w:pPr>
              <w:widowControl/>
              <w:rPr>
                <w:rFonts w:ascii="宋体" w:hAnsi="宋体"/>
              </w:rPr>
            </w:pPr>
            <w:r>
              <w:rPr>
                <w:rFonts w:hint="eastAsia" w:ascii="宋体" w:hAnsi="宋体"/>
              </w:rPr>
              <w:t>Lenovo</w:t>
            </w:r>
          </w:p>
        </w:tc>
        <w:tc>
          <w:tcPr>
            <w:tcW w:w="851" w:type="dxa"/>
          </w:tcPr>
          <w:p>
            <w:pPr>
              <w:widowControl/>
              <w:rPr>
                <w:rFonts w:ascii="宋体" w:hAnsi="宋体"/>
              </w:rPr>
            </w:pPr>
            <w:r>
              <w:rPr>
                <w:rFonts w:hint="eastAsia"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ascii="宋体" w:hAnsi="宋体"/>
              </w:rPr>
              <w:t>IP电话机</w:t>
            </w:r>
          </w:p>
        </w:tc>
        <w:tc>
          <w:tcPr>
            <w:tcW w:w="5670" w:type="dxa"/>
          </w:tcPr>
          <w:p>
            <w:pPr>
              <w:widowControl/>
              <w:rPr>
                <w:rFonts w:ascii="宋体" w:hAnsi="宋体"/>
              </w:rPr>
            </w:pPr>
            <w:r>
              <w:rPr>
                <w:rFonts w:ascii="宋体" w:hAnsi="宋体"/>
              </w:rPr>
              <w:t>(1)具 LCD 显示屏。(2)搭配护理站主机通话使用.(3)电源: 电源供应器。(4)网络传输方式: 有线网络。</w:t>
            </w:r>
          </w:p>
        </w:tc>
        <w:tc>
          <w:tcPr>
            <w:tcW w:w="1134" w:type="dxa"/>
          </w:tcPr>
          <w:p>
            <w:pPr>
              <w:widowControl/>
              <w:rPr>
                <w:rFonts w:ascii="宋体" w:hAnsi="宋体"/>
              </w:rPr>
            </w:pPr>
            <w:r>
              <w:rPr>
                <w:rFonts w:hint="eastAsia" w:ascii="宋体" w:hAnsi="宋体"/>
              </w:rPr>
              <w:t>New</w:t>
            </w:r>
            <w:r>
              <w:rPr>
                <w:rFonts w:ascii="宋体" w:hAnsi="宋体"/>
              </w:rPr>
              <w:t xml:space="preserve"> </w:t>
            </w:r>
            <w:r>
              <w:rPr>
                <w:rFonts w:hint="eastAsia" w:ascii="宋体" w:hAnsi="宋体"/>
              </w:rPr>
              <w:t>Rock</w:t>
            </w:r>
          </w:p>
        </w:tc>
        <w:tc>
          <w:tcPr>
            <w:tcW w:w="851" w:type="dxa"/>
          </w:tcPr>
          <w:p>
            <w:pPr>
              <w:widowControl/>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智能走道信息实时显示彩屏</w:t>
            </w:r>
          </w:p>
        </w:tc>
        <w:tc>
          <w:tcPr>
            <w:tcW w:w="5670" w:type="dxa"/>
          </w:tcPr>
          <w:p>
            <w:pPr>
              <w:widowControl/>
              <w:rPr>
                <w:rFonts w:ascii="宋体" w:hAnsi="宋体"/>
              </w:rPr>
            </w:pPr>
            <w:r>
              <w:rPr>
                <w:rFonts w:ascii="宋体" w:hAnsi="宋体"/>
              </w:rPr>
              <w:t>(1)可多笔呼叫自动循环显示, 紧急呼叫会自动优先显示。(2)根据一般呼叫跟紧急呼叫分成两种提示音。(3)室内使用。(5)支持中文字。(6)安卓系统</w:t>
            </w:r>
          </w:p>
        </w:tc>
        <w:tc>
          <w:tcPr>
            <w:tcW w:w="1134" w:type="dxa"/>
          </w:tcPr>
          <w:p>
            <w:pPr>
              <w:widowControl/>
              <w:rPr>
                <w:rFonts w:ascii="宋体" w:hAnsi="宋体"/>
              </w:rPr>
            </w:pPr>
            <w:r>
              <w:rPr>
                <w:rFonts w:hint="eastAsia" w:ascii="宋体" w:hAnsi="宋体"/>
              </w:rPr>
              <w:t>中润恒基</w:t>
            </w:r>
          </w:p>
        </w:tc>
        <w:tc>
          <w:tcPr>
            <w:tcW w:w="851" w:type="dxa"/>
          </w:tcPr>
          <w:p>
            <w:pPr>
              <w:widowControl/>
              <w:rPr>
                <w:rFonts w:ascii="宋体" w:hAnsi="宋体"/>
              </w:rPr>
            </w:pP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ascii="宋体" w:hAnsi="宋体"/>
              </w:rPr>
              <w:t>24口POE交换机</w:t>
            </w:r>
          </w:p>
        </w:tc>
        <w:tc>
          <w:tcPr>
            <w:tcW w:w="5670" w:type="dxa"/>
          </w:tcPr>
          <w:p>
            <w:pPr>
              <w:widowControl/>
              <w:rPr>
                <w:rFonts w:ascii="宋体" w:hAnsi="宋体"/>
              </w:rPr>
            </w:pPr>
            <w:r>
              <w:rPr>
                <w:rFonts w:ascii="宋体" w:hAnsi="宋体"/>
              </w:rPr>
              <w:t>(思科2960)</w:t>
            </w:r>
            <w:r>
              <w:rPr>
                <w:rFonts w:hint="eastAsia" w:ascii="宋体" w:hAnsi="宋体"/>
              </w:rPr>
              <w:t>以太网交换机主机</w:t>
            </w:r>
            <w:r>
              <w:rPr>
                <w:rFonts w:ascii="宋体" w:hAnsi="宋体"/>
              </w:rPr>
              <w:t>,支持24个10/100/1000BASE-T PoE+电口(AC 370W,DC 740W)</w:t>
            </w:r>
          </w:p>
        </w:tc>
        <w:tc>
          <w:tcPr>
            <w:tcW w:w="1134" w:type="dxa"/>
          </w:tcPr>
          <w:p>
            <w:pPr>
              <w:widowControl/>
              <w:rPr>
                <w:rFonts w:ascii="宋体" w:hAnsi="宋体"/>
              </w:rPr>
            </w:pPr>
            <w:r>
              <w:rPr>
                <w:rFonts w:hint="eastAsia" w:ascii="宋体" w:hAnsi="宋体"/>
              </w:rPr>
              <w:t>思科</w:t>
            </w:r>
          </w:p>
        </w:tc>
        <w:tc>
          <w:tcPr>
            <w:tcW w:w="851" w:type="dxa"/>
          </w:tcPr>
          <w:p>
            <w:pPr>
              <w:widowControl/>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ascii="宋体" w:hAnsi="宋体"/>
              </w:rPr>
              <w:t>24口POE交换机</w:t>
            </w:r>
          </w:p>
        </w:tc>
        <w:tc>
          <w:tcPr>
            <w:tcW w:w="5670" w:type="dxa"/>
          </w:tcPr>
          <w:p>
            <w:pPr>
              <w:widowControl/>
              <w:rPr>
                <w:rFonts w:ascii="宋体" w:hAnsi="宋体"/>
              </w:rPr>
            </w:pPr>
            <w:r>
              <w:rPr>
                <w:rFonts w:ascii="宋体" w:hAnsi="宋体"/>
              </w:rPr>
              <w:t>(</w:t>
            </w:r>
            <w:r>
              <w:rPr>
                <w:rFonts w:hint="eastAsia" w:ascii="宋体" w:hAnsi="宋体"/>
              </w:rPr>
              <w:t>H</w:t>
            </w:r>
            <w:r>
              <w:rPr>
                <w:rFonts w:ascii="宋体" w:hAnsi="宋体"/>
              </w:rPr>
              <w:t>3</w:t>
            </w:r>
            <w:r>
              <w:rPr>
                <w:rFonts w:hint="eastAsia" w:ascii="宋体" w:hAnsi="宋体"/>
              </w:rPr>
              <w:t>C</w:t>
            </w:r>
            <w:r>
              <w:rPr>
                <w:rFonts w:ascii="宋体" w:hAnsi="宋体"/>
              </w:rPr>
              <w:t>)</w:t>
            </w:r>
            <w:r>
              <w:rPr>
                <w:rFonts w:hint="eastAsia" w:ascii="宋体" w:hAnsi="宋体"/>
              </w:rPr>
              <w:t>以太网交换机主机</w:t>
            </w:r>
            <w:r>
              <w:rPr>
                <w:rFonts w:ascii="宋体" w:hAnsi="宋体"/>
              </w:rPr>
              <w:t>,支持24个10/100/1000BASE-T PoE+电口(AC 370W,DC 740W)</w:t>
            </w:r>
          </w:p>
        </w:tc>
        <w:tc>
          <w:tcPr>
            <w:tcW w:w="1134" w:type="dxa"/>
          </w:tcPr>
          <w:p>
            <w:pPr>
              <w:widowControl/>
              <w:rPr>
                <w:rFonts w:ascii="宋体" w:hAnsi="宋体"/>
              </w:rPr>
            </w:pPr>
            <w:r>
              <w:rPr>
                <w:rFonts w:hint="eastAsia" w:ascii="宋体" w:hAnsi="宋体"/>
              </w:rPr>
              <w:t>H</w:t>
            </w:r>
            <w:r>
              <w:rPr>
                <w:rFonts w:ascii="宋体" w:hAnsi="宋体"/>
              </w:rPr>
              <w:t>3</w:t>
            </w:r>
            <w:r>
              <w:rPr>
                <w:rFonts w:hint="eastAsia" w:ascii="宋体" w:hAnsi="宋体"/>
              </w:rPr>
              <w:t>C</w:t>
            </w:r>
          </w:p>
        </w:tc>
        <w:tc>
          <w:tcPr>
            <w:tcW w:w="851" w:type="dxa"/>
          </w:tcPr>
          <w:p>
            <w:pPr>
              <w:widowControl/>
              <w:rPr>
                <w:rFonts w:ascii="宋体" w:hAnsi="宋体"/>
              </w:rPr>
            </w:pPr>
            <w:r>
              <w:rPr>
                <w:rFonts w:hint="eastAsia" w:ascii="宋体"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电子床头卡</w:t>
            </w:r>
            <w:r>
              <w:rPr>
                <w:rFonts w:ascii="宋体" w:hAnsi="宋体"/>
              </w:rPr>
              <w:t>(护理信息集成仪表板)</w:t>
            </w:r>
          </w:p>
        </w:tc>
        <w:tc>
          <w:tcPr>
            <w:tcW w:w="5670" w:type="dxa"/>
          </w:tcPr>
          <w:p>
            <w:pPr>
              <w:widowControl/>
              <w:rPr>
                <w:rFonts w:ascii="宋体" w:hAnsi="宋体"/>
              </w:rPr>
            </w:pPr>
            <w:r>
              <w:rPr>
                <w:rFonts w:ascii="宋体" w:hAnsi="宋体"/>
              </w:rPr>
              <w:t>(1)10.1"广视角触摸屏。(2)医疗级安规认证，可消毒、抗讯号干扰。(3)电源供应方式: 网络供电(PoE)。(4)动态集成病人信息、照护注意事项与照护团队信息，实时显示在屏幕上。</w:t>
            </w:r>
          </w:p>
        </w:tc>
        <w:tc>
          <w:tcPr>
            <w:tcW w:w="1134" w:type="dxa"/>
          </w:tcPr>
          <w:p>
            <w:pPr>
              <w:widowControl/>
              <w:rPr>
                <w:rFonts w:ascii="宋体" w:hAnsi="宋体"/>
              </w:rPr>
            </w:pPr>
            <w:r>
              <w:rPr>
                <w:rFonts w:hint="eastAsia" w:ascii="宋体" w:hAnsi="宋体"/>
              </w:rPr>
              <w:t>医扬</w:t>
            </w:r>
          </w:p>
        </w:tc>
        <w:tc>
          <w:tcPr>
            <w:tcW w:w="851" w:type="dxa"/>
          </w:tcPr>
          <w:p>
            <w:pPr>
              <w:widowControl/>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监护仪数据自动采集上传（硬件）</w:t>
            </w:r>
          </w:p>
        </w:tc>
        <w:tc>
          <w:tcPr>
            <w:tcW w:w="5670" w:type="dxa"/>
          </w:tcPr>
          <w:p>
            <w:pPr>
              <w:widowControl/>
              <w:rPr>
                <w:rFonts w:ascii="宋体" w:hAnsi="宋体"/>
              </w:rPr>
            </w:pPr>
            <w:r>
              <w:rPr>
                <w:rFonts w:ascii="宋体" w:hAnsi="宋体"/>
              </w:rPr>
              <w:t>RS232串口硬件服务器接入采集</w:t>
            </w:r>
          </w:p>
        </w:tc>
        <w:tc>
          <w:tcPr>
            <w:tcW w:w="1134" w:type="dxa"/>
          </w:tcPr>
          <w:p>
            <w:pPr>
              <w:widowControl/>
              <w:jc w:val="left"/>
              <w:rPr>
                <w:rFonts w:ascii="宋体" w:hAnsi="宋体"/>
              </w:rPr>
            </w:pPr>
            <w:r>
              <w:rPr>
                <w:rFonts w:hint="eastAsia" w:ascii="宋体" w:hAnsi="宋体"/>
              </w:rPr>
              <w:t>有人LonHand</w:t>
            </w:r>
          </w:p>
        </w:tc>
        <w:tc>
          <w:tcPr>
            <w:tcW w:w="851" w:type="dxa"/>
          </w:tcPr>
          <w:p>
            <w:pPr>
              <w:widowControl/>
              <w:rPr>
                <w:rFonts w:ascii="宋体" w:hAnsi="宋体"/>
              </w:rPr>
            </w:pPr>
            <w:r>
              <w:rPr>
                <w:rFonts w:hint="eastAsia" w:ascii="宋体" w:hAnsi="宋体"/>
              </w:rPr>
              <w:t>2</w:t>
            </w:r>
            <w:r>
              <w:rPr>
                <w:rFonts w:ascii="宋体" w:hAnsi="宋体"/>
              </w:rPr>
              <w:t>4</w:t>
            </w:r>
          </w:p>
        </w:tc>
      </w:tr>
    </w:tbl>
    <w:p>
      <w:pPr>
        <w:widowControl/>
        <w:rPr>
          <w:rFonts w:ascii="宋体" w:hAnsi="宋体"/>
        </w:rPr>
      </w:pPr>
    </w:p>
    <w:p>
      <w:pPr>
        <w:pStyle w:val="3"/>
        <w:numPr>
          <w:ilvl w:val="0"/>
          <w:numId w:val="0"/>
        </w:numPr>
        <w:ind w:left="284"/>
        <w:rPr>
          <w:rFonts w:ascii="宋体" w:hAnsi="宋体"/>
          <w:b w:val="0"/>
        </w:rPr>
      </w:pPr>
      <w:bookmarkStart w:id="9" w:name="_Toc27663839"/>
      <w:r>
        <w:rPr>
          <w:rFonts w:hint="eastAsia" w:ascii="宋体" w:hAnsi="宋体"/>
          <w:b w:val="0"/>
        </w:rPr>
        <w:t>软件功能清单</w:t>
      </w:r>
      <w:bookmarkEnd w:id="9"/>
    </w:p>
    <w:tbl>
      <w:tblPr>
        <w:tblStyle w:val="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726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rPr>
                <w:rFonts w:ascii="宋体" w:hAnsi="宋体"/>
              </w:rPr>
            </w:pPr>
            <w:r>
              <w:rPr>
                <w:rFonts w:hint="eastAsia" w:ascii="宋体" w:hAnsi="宋体"/>
              </w:rPr>
              <w:t>软件名称</w:t>
            </w:r>
          </w:p>
        </w:tc>
        <w:tc>
          <w:tcPr>
            <w:tcW w:w="7261" w:type="dxa"/>
          </w:tcPr>
          <w:p>
            <w:pPr>
              <w:widowControl/>
              <w:rPr>
                <w:rFonts w:ascii="宋体" w:hAnsi="宋体"/>
              </w:rPr>
            </w:pPr>
            <w:r>
              <w:rPr>
                <w:rFonts w:hint="eastAsia" w:ascii="宋体" w:hAnsi="宋体"/>
              </w:rPr>
              <w:t>功能说明</w:t>
            </w:r>
          </w:p>
        </w:tc>
        <w:tc>
          <w:tcPr>
            <w:tcW w:w="709" w:type="dxa"/>
          </w:tcPr>
          <w:p>
            <w:pPr>
              <w:widowControl/>
              <w:rPr>
                <w:rFonts w:ascii="宋体" w:hAnsi="宋体"/>
              </w:rPr>
            </w:pPr>
            <w:r>
              <w:rPr>
                <w:rFonts w:hint="eastAsia" w:ascii="宋体" w:hAns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rPr>
                <w:rFonts w:ascii="宋体" w:hAnsi="宋体"/>
              </w:rPr>
            </w:pPr>
            <w:r>
              <w:rPr>
                <w:rFonts w:hint="eastAsia" w:ascii="宋体" w:hAnsi="宋体"/>
              </w:rPr>
              <w:t>床头物联网通讯系统</w:t>
            </w:r>
          </w:p>
        </w:tc>
        <w:tc>
          <w:tcPr>
            <w:tcW w:w="7261" w:type="dxa"/>
          </w:tcPr>
          <w:p>
            <w:pPr>
              <w:pStyle w:val="15"/>
              <w:widowControl/>
              <w:numPr>
                <w:ilvl w:val="0"/>
                <w:numId w:val="3"/>
              </w:numPr>
              <w:ind w:firstLine="420"/>
              <w:rPr>
                <w:rFonts w:ascii="宋体" w:hAnsi="宋体"/>
              </w:rPr>
            </w:pPr>
            <w:r>
              <w:rPr>
                <w:rFonts w:hint="eastAsia" w:ascii="宋体" w:hAnsi="宋体"/>
              </w:rPr>
              <w:t>包括账号授权、通讯功能、系统管理、电子床头卡等功能。</w:t>
            </w:r>
          </w:p>
          <w:p>
            <w:pPr>
              <w:pStyle w:val="15"/>
              <w:widowControl/>
              <w:numPr>
                <w:ilvl w:val="0"/>
                <w:numId w:val="3"/>
              </w:numPr>
              <w:ind w:firstLine="420"/>
              <w:rPr>
                <w:rFonts w:ascii="宋体" w:hAnsi="宋体"/>
                <w:highlight w:val="yellow"/>
              </w:rPr>
            </w:pPr>
            <w:r>
              <w:rPr>
                <w:rFonts w:hint="eastAsia" w:ascii="宋体" w:hAnsi="宋体"/>
              </w:rPr>
              <w:t>通过物联网的技术，把患者床旁的实时体征监测数据实时上传并存储，如血压、心率、血氧等，便于医生查看，减轻护士工作量。</w:t>
            </w:r>
            <w:r>
              <w:rPr>
                <w:rFonts w:hint="eastAsia" w:ascii="宋体" w:hAnsi="宋体"/>
                <w:highlight w:val="yellow"/>
              </w:rPr>
              <w:t>支持我院使用的心电监护系统的对接和数据采集。</w:t>
            </w:r>
          </w:p>
          <w:p>
            <w:pPr>
              <w:numPr>
                <w:ilvl w:val="0"/>
                <w:numId w:val="3"/>
              </w:numPr>
              <w:textAlignment w:val="center"/>
              <w:rPr>
                <w:rFonts w:ascii="宋体" w:hAnsi="宋体"/>
              </w:rPr>
            </w:pPr>
            <w:r>
              <w:rPr>
                <w:rFonts w:hint="eastAsia" w:ascii="宋体" w:hAnsi="宋体"/>
              </w:rPr>
              <w:t>支持一般呼叫、紧急呼叫、协助、取消，并可与床边AIO系统整合，将病患各种的呼叫需求推送到护士站显示面板。</w:t>
            </w:r>
          </w:p>
        </w:tc>
        <w:tc>
          <w:tcPr>
            <w:tcW w:w="709" w:type="dxa"/>
          </w:tcPr>
          <w:p>
            <w:pPr>
              <w:widowControl/>
              <w:rPr>
                <w:rFonts w:ascii="宋体" w:hAnsi="宋体"/>
              </w:rPr>
            </w:pPr>
            <w:r>
              <w:rPr>
                <w:rFonts w:hint="eastAsia" w:ascii="宋体" w:hAnsi="宋体"/>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rPr>
                <w:rFonts w:ascii="宋体" w:hAnsi="宋体"/>
              </w:rPr>
            </w:pPr>
            <w:r>
              <w:rPr>
                <w:rFonts w:hint="eastAsia" w:ascii="宋体" w:hAnsi="宋体"/>
              </w:rPr>
              <w:t>电子白板系统病患信息集成系统</w:t>
            </w:r>
          </w:p>
        </w:tc>
        <w:tc>
          <w:tcPr>
            <w:tcW w:w="7261" w:type="dxa"/>
          </w:tcPr>
          <w:p>
            <w:pPr>
              <w:pStyle w:val="15"/>
              <w:widowControl/>
              <w:numPr>
                <w:ilvl w:val="0"/>
                <w:numId w:val="4"/>
              </w:numPr>
              <w:ind w:firstLine="420"/>
              <w:rPr>
                <w:rFonts w:ascii="宋体" w:hAnsi="宋体"/>
              </w:rPr>
            </w:pPr>
            <w:r>
              <w:rPr>
                <w:rFonts w:hint="eastAsia" w:ascii="宋体" w:hAnsi="宋体"/>
              </w:rPr>
              <w:t>支持显示护理站基本信息，如医院LOGO、日期时间、科别、护理站名称，值班护士等；</w:t>
            </w:r>
          </w:p>
          <w:p>
            <w:pPr>
              <w:pStyle w:val="15"/>
              <w:widowControl/>
              <w:numPr>
                <w:ilvl w:val="0"/>
                <w:numId w:val="4"/>
              </w:numPr>
              <w:ind w:firstLine="420"/>
              <w:rPr>
                <w:rFonts w:ascii="宋体" w:hAnsi="宋体"/>
              </w:rPr>
            </w:pPr>
            <w:r>
              <w:rPr>
                <w:rFonts w:hint="eastAsia" w:ascii="宋体" w:hAnsi="宋体"/>
              </w:rPr>
              <w:t>支持依据病患状态统计病患人数，为提供医护人员快速一键筛选病患，病患状态如：病人总数、护理级别、病危、病重、异常值、高危等；</w:t>
            </w:r>
          </w:p>
          <w:p>
            <w:pPr>
              <w:pStyle w:val="15"/>
              <w:widowControl/>
              <w:numPr>
                <w:ilvl w:val="0"/>
                <w:numId w:val="4"/>
              </w:numPr>
              <w:ind w:firstLine="420"/>
              <w:rPr>
                <w:rFonts w:ascii="宋体" w:hAnsi="宋体"/>
              </w:rPr>
            </w:pPr>
            <w:r>
              <w:rPr>
                <w:rFonts w:hint="eastAsia" w:ascii="宋体" w:hAnsi="宋体"/>
              </w:rPr>
              <w:t>支持实时更新并显示病房当前状态及病患基本资料，并以特殊注记提供医护人员快速辨识病患状况；</w:t>
            </w:r>
          </w:p>
          <w:p>
            <w:pPr>
              <w:pStyle w:val="15"/>
              <w:widowControl/>
              <w:numPr>
                <w:ilvl w:val="0"/>
                <w:numId w:val="4"/>
              </w:numPr>
              <w:ind w:firstLine="420"/>
              <w:rPr>
                <w:rFonts w:ascii="宋体" w:hAnsi="宋体"/>
              </w:rPr>
            </w:pPr>
            <w:r>
              <w:rPr>
                <w:rFonts w:hint="eastAsia" w:ascii="宋体" w:hAnsi="宋体"/>
              </w:rPr>
              <w:t>支持医护能够查看患者的详细医嘱，如点选病患可连接至病患详细资料，提供医护人员浏览病患详细资料。</w:t>
            </w:r>
          </w:p>
        </w:tc>
        <w:tc>
          <w:tcPr>
            <w:tcW w:w="709" w:type="dxa"/>
          </w:tcPr>
          <w:p>
            <w:pPr>
              <w:widowControl/>
              <w:rPr>
                <w:rFonts w:ascii="宋体" w:hAnsi="宋体"/>
              </w:rPr>
            </w:pPr>
            <w:r>
              <w:rPr>
                <w:rFonts w:hint="eastAsia" w:ascii="宋体" w:hAnsi="宋体"/>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rPr>
                <w:rFonts w:ascii="宋体" w:hAnsi="宋体"/>
              </w:rPr>
            </w:pPr>
            <w:r>
              <w:rPr>
                <w:rFonts w:hint="eastAsia" w:ascii="宋体" w:hAnsi="宋体"/>
              </w:rPr>
              <w:t>电子床头卡护理信息集成系统</w:t>
            </w:r>
          </w:p>
        </w:tc>
        <w:tc>
          <w:tcPr>
            <w:tcW w:w="7261" w:type="dxa"/>
          </w:tcPr>
          <w:p>
            <w:pPr>
              <w:widowControl/>
              <w:ind w:firstLine="420" w:firstLineChars="200"/>
              <w:rPr>
                <w:rFonts w:ascii="宋体" w:hAnsi="宋体"/>
              </w:rPr>
            </w:pPr>
            <w:r>
              <w:rPr>
                <w:rFonts w:hint="eastAsia" w:ascii="宋体" w:hAnsi="宋体"/>
              </w:rPr>
              <w:t>支持病患床位基本信息、主治医师、护理级别、饮食、药物过敏、病重病危及高危信息显示。</w:t>
            </w:r>
          </w:p>
        </w:tc>
        <w:tc>
          <w:tcPr>
            <w:tcW w:w="709" w:type="dxa"/>
          </w:tcPr>
          <w:p>
            <w:pPr>
              <w:widowControl/>
              <w:rPr>
                <w:rFonts w:ascii="宋体" w:hAnsi="宋体"/>
              </w:rPr>
            </w:pPr>
            <w:r>
              <w:rPr>
                <w:rFonts w:ascii="宋体" w:hAnsi="宋体"/>
              </w:rPr>
              <w:t>1</w:t>
            </w:r>
            <w:r>
              <w:rPr>
                <w:rFonts w:hint="eastAsia" w:ascii="宋体" w:hAnsi="宋体"/>
              </w:rPr>
              <w:t>套</w:t>
            </w:r>
          </w:p>
        </w:tc>
      </w:tr>
    </w:tbl>
    <w:p>
      <w:pPr>
        <w:pStyle w:val="3"/>
        <w:numPr>
          <w:ilvl w:val="0"/>
          <w:numId w:val="0"/>
        </w:numPr>
        <w:ind w:left="284"/>
        <w:rPr>
          <w:rFonts w:ascii="宋体" w:hAnsi="宋体"/>
          <w:b w:val="0"/>
        </w:rPr>
      </w:pPr>
      <w:r>
        <w:rPr>
          <w:rFonts w:hint="eastAsia" w:ascii="宋体" w:hAnsi="宋体"/>
          <w:b w:val="0"/>
        </w:rPr>
        <w:t>服务承诺</w:t>
      </w:r>
    </w:p>
    <w:p>
      <w:pPr>
        <w:ind w:firstLine="480"/>
        <w:rPr>
          <w:szCs w:val="21"/>
        </w:rPr>
      </w:pPr>
      <w:r>
        <w:rPr>
          <w:sz w:val="18"/>
          <w:szCs w:val="18"/>
        </w:rPr>
        <w:t>*</w:t>
      </w:r>
      <w:r>
        <w:rPr>
          <w:rFonts w:hint="eastAsia"/>
          <w:szCs w:val="21"/>
        </w:rPr>
        <w:t>(1) 对维保硬件清单和软件功能清单内容提供维保服务，提供的所有设备、部件需要满足软件程序适配及原功能不缺失</w:t>
      </w:r>
    </w:p>
    <w:p>
      <w:pPr>
        <w:ind w:firstLine="480"/>
        <w:rPr>
          <w:szCs w:val="21"/>
        </w:rPr>
      </w:pPr>
      <w:r>
        <w:rPr>
          <w:rFonts w:hint="eastAsia"/>
          <w:szCs w:val="21"/>
        </w:rPr>
        <w:t>(2)</w:t>
      </w:r>
      <w:r>
        <w:rPr>
          <w:rFonts w:hint="eastAsia"/>
          <w:szCs w:val="21"/>
        </w:rPr>
        <w:tab/>
      </w:r>
      <w:r>
        <w:rPr>
          <w:rFonts w:hint="eastAsia"/>
          <w:szCs w:val="21"/>
        </w:rPr>
        <w:t>在系统设备达到使用寿命后，维护方将派遣技术人员携带测试仪器对所有设备进行全面细致的检测，并向用户提交检验测试报告。</w:t>
      </w:r>
    </w:p>
    <w:p>
      <w:pPr>
        <w:ind w:firstLine="480"/>
        <w:rPr>
          <w:szCs w:val="21"/>
        </w:rPr>
      </w:pPr>
      <w:r>
        <w:rPr>
          <w:rFonts w:hint="eastAsia"/>
          <w:szCs w:val="21"/>
        </w:rPr>
        <w:t>(3)</w:t>
      </w:r>
      <w:r>
        <w:rPr>
          <w:rFonts w:hint="eastAsia"/>
          <w:szCs w:val="21"/>
        </w:rPr>
        <w:tab/>
      </w:r>
      <w:r>
        <w:rPr>
          <w:rFonts w:hint="eastAsia"/>
          <w:szCs w:val="21"/>
        </w:rPr>
        <w:t>保修期内免费保修(材料、工时、运输)，保修期外只收取设备零配件成本费。</w:t>
      </w:r>
    </w:p>
    <w:p>
      <w:pPr>
        <w:ind w:firstLine="480"/>
        <w:rPr>
          <w:szCs w:val="21"/>
        </w:rPr>
      </w:pPr>
      <w:r>
        <w:rPr>
          <w:rFonts w:hint="eastAsia"/>
          <w:szCs w:val="21"/>
        </w:rPr>
        <w:t>(4)</w:t>
      </w:r>
      <w:r>
        <w:rPr>
          <w:rFonts w:hint="eastAsia"/>
          <w:szCs w:val="21"/>
        </w:rPr>
        <w:tab/>
      </w:r>
      <w:r>
        <w:rPr>
          <w:rFonts w:hint="eastAsia"/>
          <w:szCs w:val="21"/>
        </w:rPr>
        <w:t>在运行中如遇故障，自接到售后电话起2小时内专业工程师电话响应处理。</w:t>
      </w:r>
    </w:p>
    <w:p>
      <w:pPr>
        <w:ind w:firstLine="480"/>
        <w:rPr>
          <w:szCs w:val="21"/>
        </w:rPr>
      </w:pPr>
      <w:r>
        <w:rPr>
          <w:sz w:val="18"/>
          <w:szCs w:val="18"/>
        </w:rPr>
        <w:t>*</w:t>
      </w:r>
      <w:r>
        <w:rPr>
          <w:rFonts w:hint="eastAsia"/>
          <w:szCs w:val="21"/>
        </w:rPr>
        <w:t>(5)</w:t>
      </w:r>
      <w:r>
        <w:rPr>
          <w:rFonts w:hint="eastAsia"/>
          <w:szCs w:val="21"/>
        </w:rPr>
        <w:tab/>
      </w:r>
      <w:r>
        <w:rPr>
          <w:rFonts w:hint="eastAsia"/>
          <w:szCs w:val="21"/>
          <w:highlight w:val="yellow"/>
        </w:rPr>
        <w:t>如遇故障，需现场处理的故障24小时内解决问题。如无法及时维修时将提供备用机，以确保用户正常使用。</w:t>
      </w:r>
    </w:p>
    <w:p>
      <w:pPr>
        <w:ind w:firstLine="480"/>
        <w:rPr>
          <w:szCs w:val="21"/>
        </w:rPr>
      </w:pPr>
      <w:r>
        <w:rPr>
          <w:sz w:val="18"/>
          <w:szCs w:val="18"/>
        </w:rPr>
        <w:t>*</w:t>
      </w:r>
      <w:r>
        <w:rPr>
          <w:rFonts w:hint="eastAsia"/>
          <w:szCs w:val="21"/>
          <w:highlight w:val="yellow"/>
        </w:rPr>
        <w:t>(6)</w:t>
      </w:r>
      <w:r>
        <w:rPr>
          <w:rFonts w:hint="eastAsia"/>
          <w:szCs w:val="21"/>
          <w:highlight w:val="yellow"/>
        </w:rPr>
        <w:tab/>
      </w:r>
      <w:r>
        <w:rPr>
          <w:rFonts w:hint="eastAsia"/>
          <w:szCs w:val="21"/>
          <w:highlight w:val="yellow"/>
        </w:rPr>
        <w:t>交付使用后保修期内，不定期进行巡检，以排除隐患，保证设备正常运行，每年巡检次数不少于12次。</w:t>
      </w:r>
    </w:p>
    <w:p>
      <w:pPr>
        <w:ind w:firstLine="480"/>
        <w:rPr>
          <w:szCs w:val="21"/>
        </w:rPr>
      </w:pPr>
      <w:r>
        <w:rPr>
          <w:rFonts w:hint="eastAsia"/>
          <w:szCs w:val="21"/>
        </w:rPr>
        <w:t>(7)</w:t>
      </w:r>
      <w:r>
        <w:rPr>
          <w:rFonts w:hint="eastAsia"/>
          <w:szCs w:val="21"/>
        </w:rPr>
        <w:tab/>
      </w:r>
      <w:r>
        <w:rPr>
          <w:rFonts w:hint="eastAsia"/>
          <w:szCs w:val="21"/>
        </w:rPr>
        <w:t>用户方遇有召开重大活动，如有要求维护方将派技术人员到达现场协助设备调试。</w:t>
      </w:r>
    </w:p>
    <w:p>
      <w:pPr>
        <w:ind w:firstLine="480"/>
        <w:rPr>
          <w:szCs w:val="21"/>
        </w:rPr>
      </w:pPr>
      <w:r>
        <w:rPr>
          <w:sz w:val="18"/>
          <w:szCs w:val="18"/>
        </w:rPr>
        <w:t>*</w:t>
      </w:r>
      <w:r>
        <w:rPr>
          <w:rFonts w:hint="eastAsia"/>
          <w:szCs w:val="21"/>
        </w:rPr>
        <w:t>(8) 使用过程中遇产品软件升级，维护方免费为客户提供升级服务。</w:t>
      </w:r>
    </w:p>
    <w:p>
      <w:pPr>
        <w:ind w:firstLine="480"/>
        <w:rPr>
          <w:szCs w:val="21"/>
        </w:rPr>
      </w:pPr>
      <w:r>
        <w:rPr>
          <w:sz w:val="18"/>
          <w:szCs w:val="18"/>
        </w:rPr>
        <w:t>*</w:t>
      </w:r>
      <w:r>
        <w:rPr>
          <w:rFonts w:hint="eastAsia"/>
          <w:szCs w:val="21"/>
        </w:rPr>
        <w:t>(9) 使用过程中遇产品停产，维护方免费为客户提供同等功能的替代产品和系统，保证原有功能正常使用。</w:t>
      </w:r>
    </w:p>
    <w:p>
      <w:pPr>
        <w:ind w:firstLine="480"/>
        <w:rPr>
          <w:szCs w:val="21"/>
        </w:rPr>
      </w:pPr>
      <w:r>
        <w:rPr>
          <w:rFonts w:hint="eastAsia"/>
          <w:szCs w:val="21"/>
        </w:rPr>
        <w:t>(10)</w:t>
      </w:r>
      <w:r>
        <w:rPr>
          <w:rFonts w:hint="eastAsia"/>
          <w:szCs w:val="21"/>
        </w:rPr>
        <w:tab/>
      </w:r>
      <w:r>
        <w:rPr>
          <w:rFonts w:hint="eastAsia"/>
          <w:szCs w:val="21"/>
        </w:rPr>
        <w:t>工程验收完毕，维护方将提供《设备使用及维护手册》，并公示维护方的免费服务电话，项目经理和工程师电话，保持两方的信息沟通，提高工作效率。</w:t>
      </w:r>
    </w:p>
    <w:p>
      <w:pPr>
        <w:ind w:firstLine="480"/>
        <w:rPr>
          <w:szCs w:val="21"/>
        </w:rPr>
      </w:pPr>
      <w:r>
        <w:rPr>
          <w:rFonts w:hint="eastAsia"/>
          <w:szCs w:val="21"/>
        </w:rPr>
        <w:t>(11)</w:t>
      </w:r>
      <w:r>
        <w:rPr>
          <w:rFonts w:hint="eastAsia"/>
          <w:szCs w:val="21"/>
        </w:rPr>
        <w:tab/>
      </w:r>
      <w:r>
        <w:rPr>
          <w:rFonts w:hint="eastAsia"/>
          <w:szCs w:val="21"/>
        </w:rPr>
        <w:t>维护方提供设备安装调试时所需的资料，在保证安全和质量的前提下提供技术服务，包括：技术咨询、使用说明、维护说明等。</w:t>
      </w:r>
    </w:p>
    <w:p>
      <w:pPr>
        <w:ind w:firstLine="480"/>
        <w:rPr>
          <w:szCs w:val="21"/>
        </w:rPr>
      </w:pPr>
      <w:r>
        <w:rPr>
          <w:rFonts w:hint="eastAsia"/>
          <w:szCs w:val="21"/>
        </w:rPr>
        <w:t>(12)</w:t>
      </w:r>
      <w:r>
        <w:rPr>
          <w:rFonts w:hint="eastAsia"/>
          <w:szCs w:val="21"/>
        </w:rPr>
        <w:tab/>
      </w:r>
      <w:r>
        <w:rPr>
          <w:rFonts w:hint="eastAsia"/>
          <w:szCs w:val="21"/>
        </w:rPr>
        <w:t>在系统试运行期间，根据需要维护方会派技术人员到现场指导维护工作。</w:t>
      </w:r>
    </w:p>
    <w:p>
      <w:pPr>
        <w:ind w:firstLine="480"/>
        <w:rPr>
          <w:szCs w:val="21"/>
        </w:rPr>
      </w:pPr>
      <w:r>
        <w:rPr>
          <w:rFonts w:hint="eastAsia"/>
          <w:szCs w:val="21"/>
        </w:rPr>
        <w:t>(1</w:t>
      </w:r>
      <w:r>
        <w:rPr>
          <w:szCs w:val="21"/>
        </w:rPr>
        <w:t>3</w:t>
      </w:r>
      <w:r>
        <w:rPr>
          <w:rFonts w:hint="eastAsia"/>
          <w:szCs w:val="21"/>
        </w:rPr>
        <w:t>)</w:t>
      </w:r>
      <w:r>
        <w:rPr>
          <w:rFonts w:hint="eastAsia"/>
          <w:szCs w:val="21"/>
        </w:rPr>
        <w:tab/>
      </w:r>
      <w:r>
        <w:rPr>
          <w:rFonts w:hint="eastAsia"/>
          <w:szCs w:val="21"/>
        </w:rPr>
        <w:t>保修期内，除人为损坏外，维护方负责免费的软硬件技术支持。</w:t>
      </w:r>
    </w:p>
    <w:p>
      <w:pPr>
        <w:rPr>
          <w:b/>
          <w:szCs w:val="21"/>
        </w:rPr>
      </w:pPr>
    </w:p>
    <w:p>
      <w:pPr>
        <w:ind w:firstLine="211" w:firstLineChars="100"/>
        <w:rPr>
          <w:b/>
          <w:szCs w:val="21"/>
        </w:rPr>
      </w:pPr>
      <w:r>
        <w:rPr>
          <w:rFonts w:hint="eastAsia"/>
          <w:b/>
          <w:szCs w:val="21"/>
          <w:highlight w:val="yellow"/>
        </w:rPr>
        <w:t>以上承诺项目需要投标供应商提供书面承诺函，并加盖公章。</w:t>
      </w:r>
    </w:p>
    <w:p>
      <w:pPr>
        <w:ind w:firstLine="482"/>
        <w:rPr>
          <w:b/>
          <w:szCs w:val="21"/>
        </w:rPr>
      </w:pPr>
    </w:p>
    <w:p>
      <w:pPr>
        <w:ind w:firstLine="482"/>
        <w:rPr>
          <w:b/>
          <w:szCs w:val="21"/>
        </w:rPr>
      </w:pPr>
      <w:r>
        <w:rPr>
          <w:rFonts w:hint="eastAsia"/>
          <w:b/>
          <w:szCs w:val="21"/>
        </w:rPr>
        <w:t>第二部分  商务要求</w:t>
      </w:r>
    </w:p>
    <w:p>
      <w:pPr>
        <w:ind w:firstLine="480"/>
        <w:rPr>
          <w:szCs w:val="21"/>
        </w:rPr>
      </w:pPr>
      <w:r>
        <w:rPr>
          <w:szCs w:val="21"/>
        </w:rPr>
        <w:t>质量要求：符合相应行业或企业标准，并依照合同承诺履行职责。</w:t>
      </w:r>
    </w:p>
    <w:p>
      <w:pPr>
        <w:ind w:firstLine="480"/>
        <w:rPr>
          <w:szCs w:val="21"/>
        </w:rPr>
      </w:pPr>
      <w:r>
        <w:rPr>
          <w:szCs w:val="21"/>
        </w:rPr>
        <w:t>验收标准：</w:t>
      </w:r>
    </w:p>
    <w:p>
      <w:pPr>
        <w:ind w:firstLine="480"/>
        <w:rPr>
          <w:szCs w:val="21"/>
        </w:rPr>
      </w:pPr>
      <w:r>
        <w:rPr>
          <w:rFonts w:hint="eastAsia"/>
          <w:szCs w:val="21"/>
        </w:rPr>
        <w:t>（</w:t>
      </w:r>
      <w:r>
        <w:rPr>
          <w:szCs w:val="21"/>
        </w:rPr>
        <w:t>1）各项功能运行稳定。</w:t>
      </w:r>
    </w:p>
    <w:p>
      <w:pPr>
        <w:ind w:firstLine="480"/>
        <w:rPr>
          <w:szCs w:val="21"/>
        </w:rPr>
      </w:pPr>
      <w:r>
        <w:rPr>
          <w:rFonts w:hint="eastAsia"/>
          <w:szCs w:val="21"/>
        </w:rPr>
        <w:t>（</w:t>
      </w:r>
      <w:r>
        <w:rPr>
          <w:szCs w:val="21"/>
        </w:rPr>
        <w:t>2）由采购人组织的验收小组与采购人代表，按照相关标准和合同的约定，共同对本采购项目进行检测验收。</w:t>
      </w:r>
    </w:p>
    <w:p>
      <w:pPr>
        <w:ind w:firstLine="480"/>
        <w:rPr>
          <w:szCs w:val="21"/>
        </w:rPr>
      </w:pPr>
      <w:r>
        <w:rPr>
          <w:rFonts w:hint="eastAsia"/>
          <w:szCs w:val="21"/>
        </w:rPr>
        <w:t>（</w:t>
      </w:r>
      <w:r>
        <w:rPr>
          <w:szCs w:val="21"/>
        </w:rPr>
        <w:t>3）在检测验收过程中，如发现</w:t>
      </w:r>
      <w:r>
        <w:rPr>
          <w:rFonts w:hint="eastAsia"/>
          <w:szCs w:val="21"/>
        </w:rPr>
        <w:t>功能</w:t>
      </w:r>
      <w:r>
        <w:rPr>
          <w:szCs w:val="21"/>
        </w:rPr>
        <w:t>不符合采购文件和合同要求时，将被视为质量不合格，采购单位不予接收，成交供应商必须更改完善，由此造成的全部损失由成交供应商承担。</w:t>
      </w:r>
    </w:p>
    <w:p>
      <w:pPr>
        <w:ind w:firstLine="482"/>
        <w:rPr>
          <w:b/>
          <w:szCs w:val="21"/>
        </w:rPr>
      </w:pPr>
      <w:r>
        <w:rPr>
          <w:rFonts w:hint="eastAsia"/>
          <w:b/>
          <w:szCs w:val="21"/>
        </w:rPr>
        <w:t>售后响应时间</w:t>
      </w:r>
    </w:p>
    <w:p>
      <w:pPr>
        <w:ind w:firstLine="480"/>
        <w:rPr>
          <w:szCs w:val="21"/>
        </w:rPr>
      </w:pPr>
      <w:r>
        <w:rPr>
          <w:rFonts w:hint="eastAsia"/>
          <w:szCs w:val="21"/>
        </w:rPr>
        <w:t>（1）提供</w:t>
      </w:r>
      <w:r>
        <w:rPr>
          <w:szCs w:val="21"/>
        </w:rPr>
        <w:t>7×24</w:t>
      </w:r>
      <w:r>
        <w:rPr>
          <w:rFonts w:hint="eastAsia"/>
          <w:szCs w:val="21"/>
        </w:rPr>
        <w:t>小时系统运行维护服务，提供免费客服热线。</w:t>
      </w:r>
    </w:p>
    <w:p>
      <w:pPr>
        <w:ind w:firstLine="480"/>
        <w:rPr>
          <w:szCs w:val="21"/>
        </w:rPr>
      </w:pPr>
      <w:r>
        <w:rPr>
          <w:rFonts w:hint="eastAsia"/>
          <w:szCs w:val="21"/>
        </w:rPr>
        <w:t>（2）供应商的售后响应要求：</w:t>
      </w:r>
      <w:r>
        <w:rPr>
          <w:rFonts w:hint="eastAsia" w:ascii="宋体" w:hAnsi="宋体"/>
          <w:highlight w:val="yellow"/>
        </w:rPr>
        <w:t>在2小时内响应处理，需现场处理的故障</w:t>
      </w:r>
      <w:r>
        <w:rPr>
          <w:rFonts w:hint="eastAsia" w:ascii="宋体" w:hAnsi="宋体"/>
        </w:rPr>
        <w:t>2</w:t>
      </w:r>
      <w:r>
        <w:rPr>
          <w:rFonts w:ascii="宋体" w:hAnsi="宋体"/>
        </w:rPr>
        <w:t>4</w:t>
      </w:r>
      <w:r>
        <w:rPr>
          <w:rFonts w:hint="eastAsia" w:ascii="宋体" w:hAnsi="宋体"/>
          <w:highlight w:val="yellow"/>
        </w:rPr>
        <w:t>小时内解决问题。</w:t>
      </w:r>
    </w:p>
    <w:p>
      <w:pPr>
        <w:ind w:firstLine="480"/>
        <w:rPr>
          <w:szCs w:val="21"/>
        </w:rPr>
      </w:pPr>
      <w:r>
        <w:rPr>
          <w:rFonts w:hint="eastAsia"/>
          <w:szCs w:val="21"/>
        </w:rPr>
        <w:t>付款方式：项目验收后</w:t>
      </w:r>
      <w:r>
        <w:rPr>
          <w:szCs w:val="21"/>
        </w:rPr>
        <w:t>付该项目</w:t>
      </w:r>
      <w:r>
        <w:rPr>
          <w:rFonts w:hint="eastAsia"/>
          <w:szCs w:val="21"/>
        </w:rPr>
        <w:t>90</w:t>
      </w:r>
      <w:r>
        <w:rPr>
          <w:szCs w:val="21"/>
        </w:rPr>
        <w:t>%的款项，合同到期后根据验收情况付完该项目</w:t>
      </w:r>
      <w:r>
        <w:rPr>
          <w:rFonts w:hint="eastAsia"/>
          <w:szCs w:val="21"/>
        </w:rPr>
        <w:t>10</w:t>
      </w:r>
      <w:r>
        <w:rPr>
          <w:szCs w:val="21"/>
        </w:rPr>
        <w:t>%余款。</w:t>
      </w:r>
    </w:p>
    <w:p>
      <w:pPr>
        <w:ind w:firstLine="480"/>
        <w:rPr>
          <w:szCs w:val="21"/>
        </w:rPr>
      </w:pPr>
      <w:r>
        <w:rPr>
          <w:rFonts w:hint="eastAsia"/>
          <w:szCs w:val="21"/>
        </w:rPr>
        <w:t>评分标准：</w:t>
      </w:r>
    </w:p>
    <w:tbl>
      <w:tblPr>
        <w:tblStyle w:val="8"/>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310"/>
        <w:gridCol w:w="1510"/>
        <w:gridCol w:w="5365"/>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1" w:hRule="atLeast"/>
          <w:tblHeader/>
          <w:jc w:val="center"/>
        </w:trPr>
        <w:tc>
          <w:tcPr>
            <w:tcW w:w="9071" w:type="dxa"/>
            <w:gridSpan w:val="4"/>
            <w:vAlign w:val="center"/>
          </w:tcPr>
          <w:p>
            <w:pPr>
              <w:jc w:val="center"/>
              <w:outlineLvl w:val="1"/>
              <w:rPr>
                <w:sz w:val="18"/>
                <w:szCs w:val="18"/>
              </w:rPr>
            </w:pPr>
            <w:bookmarkStart w:id="10" w:name="_Toc108681218"/>
            <w:bookmarkStart w:id="11" w:name="_Hlk108443189"/>
            <w:r>
              <w:rPr>
                <w:rFonts w:hint="eastAsia" w:ascii="宋体" w:hAnsi="宋体"/>
                <w:b/>
                <w:bCs/>
                <w:sz w:val="18"/>
                <w:szCs w:val="18"/>
              </w:rPr>
              <w:t>评分细则</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1" w:hRule="atLeast"/>
          <w:tblHeader/>
          <w:jc w:val="center"/>
        </w:trPr>
        <w:tc>
          <w:tcPr>
            <w:tcW w:w="1310" w:type="dxa"/>
            <w:vAlign w:val="center"/>
          </w:tcPr>
          <w:p>
            <w:pPr>
              <w:jc w:val="center"/>
              <w:rPr>
                <w:b/>
                <w:bCs/>
                <w:sz w:val="18"/>
                <w:szCs w:val="18"/>
              </w:rPr>
            </w:pPr>
            <w:r>
              <w:rPr>
                <w:rFonts w:hint="eastAsia"/>
                <w:b/>
                <w:bCs/>
                <w:sz w:val="18"/>
                <w:szCs w:val="18"/>
              </w:rPr>
              <w:t>评标项目</w:t>
            </w:r>
          </w:p>
        </w:tc>
        <w:tc>
          <w:tcPr>
            <w:tcW w:w="1510" w:type="dxa"/>
            <w:vAlign w:val="center"/>
          </w:tcPr>
          <w:p>
            <w:pPr>
              <w:jc w:val="center"/>
              <w:rPr>
                <w:b/>
                <w:bCs/>
                <w:sz w:val="18"/>
                <w:szCs w:val="18"/>
              </w:rPr>
            </w:pPr>
            <w:r>
              <w:rPr>
                <w:rFonts w:hint="eastAsia"/>
                <w:b/>
                <w:bCs/>
                <w:sz w:val="18"/>
                <w:szCs w:val="18"/>
              </w:rPr>
              <w:t>评标分项</w:t>
            </w:r>
          </w:p>
        </w:tc>
        <w:tc>
          <w:tcPr>
            <w:tcW w:w="5365" w:type="dxa"/>
            <w:vAlign w:val="center"/>
          </w:tcPr>
          <w:p>
            <w:pPr>
              <w:jc w:val="center"/>
              <w:rPr>
                <w:b/>
                <w:bCs/>
                <w:sz w:val="18"/>
                <w:szCs w:val="18"/>
              </w:rPr>
            </w:pPr>
            <w:r>
              <w:rPr>
                <w:rFonts w:hint="eastAsia"/>
                <w:b/>
                <w:bCs/>
                <w:sz w:val="18"/>
                <w:szCs w:val="18"/>
              </w:rPr>
              <w:t>子项目及分值</w:t>
            </w:r>
          </w:p>
        </w:tc>
        <w:tc>
          <w:tcPr>
            <w:tcW w:w="886" w:type="dxa"/>
            <w:vAlign w:val="center"/>
          </w:tcPr>
          <w:p>
            <w:pPr>
              <w:jc w:val="center"/>
              <w:rPr>
                <w:b/>
                <w:bCs/>
                <w:sz w:val="18"/>
                <w:szCs w:val="18"/>
              </w:rPr>
            </w:pPr>
            <w:r>
              <w:rPr>
                <w:rFonts w:hint="eastAsia"/>
                <w:b/>
                <w:bCs/>
                <w:sz w:val="18"/>
                <w:szCs w:val="18"/>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restart"/>
            <w:vAlign w:val="center"/>
          </w:tcPr>
          <w:p>
            <w:pPr>
              <w:widowControl/>
              <w:jc w:val="center"/>
              <w:rPr>
                <w:rFonts w:ascii="宋体" w:hAnsi="宋体"/>
                <w:kern w:val="0"/>
                <w:sz w:val="18"/>
                <w:szCs w:val="18"/>
              </w:rPr>
            </w:pPr>
            <w:r>
              <w:rPr>
                <w:rFonts w:hint="eastAsia" w:ascii="宋体" w:hAnsi="宋体"/>
                <w:kern w:val="0"/>
                <w:sz w:val="18"/>
                <w:szCs w:val="18"/>
              </w:rPr>
              <w:t>技术部分</w:t>
            </w:r>
          </w:p>
          <w:p>
            <w:pPr>
              <w:widowControl/>
              <w:jc w:val="center"/>
              <w:rPr>
                <w:rFonts w:ascii="宋体" w:hAnsi="宋体"/>
                <w:kern w:val="0"/>
                <w:sz w:val="18"/>
                <w:szCs w:val="18"/>
              </w:rPr>
            </w:pPr>
            <w:r>
              <w:rPr>
                <w:rFonts w:hint="eastAsia" w:ascii="宋体" w:hAnsi="宋体"/>
                <w:kern w:val="0"/>
                <w:sz w:val="18"/>
                <w:szCs w:val="18"/>
              </w:rPr>
              <w:t>（60分）</w:t>
            </w:r>
          </w:p>
        </w:tc>
        <w:tc>
          <w:tcPr>
            <w:tcW w:w="1510" w:type="dxa"/>
            <w:vAlign w:val="center"/>
          </w:tcPr>
          <w:p>
            <w:pPr>
              <w:widowControl/>
              <w:jc w:val="center"/>
              <w:rPr>
                <w:sz w:val="18"/>
                <w:szCs w:val="18"/>
              </w:rPr>
            </w:pPr>
            <w:r>
              <w:rPr>
                <w:rFonts w:hint="eastAsia"/>
                <w:sz w:val="18"/>
                <w:szCs w:val="18"/>
              </w:rPr>
              <w:t>技术参数响应</w:t>
            </w:r>
          </w:p>
        </w:tc>
        <w:tc>
          <w:tcPr>
            <w:tcW w:w="5365" w:type="dxa"/>
            <w:vAlign w:val="center"/>
          </w:tcPr>
          <w:p>
            <w:pPr>
              <w:snapToGrid w:val="0"/>
              <w:jc w:val="left"/>
              <w:rPr>
                <w:rFonts w:ascii="宋体" w:hAnsi="宋体"/>
                <w:kern w:val="0"/>
                <w:sz w:val="18"/>
                <w:szCs w:val="18"/>
              </w:rPr>
            </w:pPr>
            <w:r>
              <w:rPr>
                <w:sz w:val="18"/>
                <w:szCs w:val="18"/>
              </w:rPr>
              <w:t>根据所投产品的技术性能、功能以及对招标文件各项技术要求的逐项响应承诺等方面情况由评委进行评分，完全满足招标文件要求的得</w:t>
            </w:r>
            <w:r>
              <w:rPr>
                <w:rFonts w:hint="eastAsia"/>
                <w:sz w:val="18"/>
                <w:szCs w:val="18"/>
              </w:rPr>
              <w:t>20</w:t>
            </w:r>
            <w:r>
              <w:rPr>
                <w:sz w:val="18"/>
                <w:szCs w:val="18"/>
              </w:rPr>
              <w:t>分，有负偏离情况的，评标委员会将根据该技术参数的负偏离对所投标产品的使用影响程度进行扣分：每负偏离一项扣</w:t>
            </w:r>
            <w:r>
              <w:rPr>
                <w:rFonts w:hint="eastAsia"/>
                <w:sz w:val="18"/>
                <w:szCs w:val="18"/>
              </w:rPr>
              <w:t>2分，</w:t>
            </w:r>
            <w:r>
              <w:rPr>
                <w:sz w:val="18"/>
                <w:szCs w:val="18"/>
              </w:rPr>
              <w:t>技术参数中标注“*”号的参数为重要参数，每负偏离一项扣</w:t>
            </w:r>
            <w:r>
              <w:rPr>
                <w:rFonts w:hint="eastAsia"/>
                <w:sz w:val="18"/>
                <w:szCs w:val="18"/>
              </w:rPr>
              <w:t>4</w:t>
            </w:r>
            <w:r>
              <w:rPr>
                <w:sz w:val="18"/>
                <w:szCs w:val="18"/>
              </w:rPr>
              <w:t>分；扣完为止，正偏离不加分</w:t>
            </w:r>
          </w:p>
        </w:tc>
        <w:tc>
          <w:tcPr>
            <w:tcW w:w="886" w:type="dxa"/>
            <w:vAlign w:val="center"/>
          </w:tcPr>
          <w:p>
            <w:pPr>
              <w:snapToGrid w:val="0"/>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jc w:val="center"/>
              <w:rPr>
                <w:rFonts w:ascii="宋体" w:hAnsi="宋体"/>
                <w:sz w:val="18"/>
                <w:szCs w:val="18"/>
              </w:rPr>
            </w:pPr>
            <w:r>
              <w:rPr>
                <w:rFonts w:hint="eastAsia" w:ascii="宋体" w:hAnsi="宋体"/>
                <w:sz w:val="18"/>
                <w:szCs w:val="18"/>
              </w:rPr>
              <w:t>整体方案</w:t>
            </w:r>
          </w:p>
        </w:tc>
        <w:tc>
          <w:tcPr>
            <w:tcW w:w="5365" w:type="dxa"/>
            <w:vAlign w:val="center"/>
          </w:tcPr>
          <w:p>
            <w:pPr>
              <w:widowControl/>
              <w:jc w:val="left"/>
              <w:rPr>
                <w:rFonts w:ascii="宋体" w:hAnsi="宋体"/>
                <w:kern w:val="0"/>
                <w:sz w:val="18"/>
                <w:szCs w:val="18"/>
              </w:rPr>
            </w:pPr>
            <w:r>
              <w:rPr>
                <w:rFonts w:hint="eastAsia" w:ascii="宋体" w:hAnsi="宋体"/>
                <w:kern w:val="0"/>
                <w:sz w:val="18"/>
                <w:szCs w:val="18"/>
              </w:rPr>
              <w:t>根据供应商提供的</w:t>
            </w:r>
            <w:r>
              <w:rPr>
                <w:rFonts w:hint="eastAsia" w:ascii="宋体" w:hAnsi="宋体"/>
                <w:sz w:val="18"/>
                <w:szCs w:val="18"/>
              </w:rPr>
              <w:t>整体方案</w:t>
            </w:r>
            <w:r>
              <w:rPr>
                <w:rFonts w:hint="eastAsia" w:ascii="宋体" w:hAnsi="宋体"/>
                <w:kern w:val="0"/>
                <w:sz w:val="18"/>
                <w:szCs w:val="18"/>
              </w:rPr>
              <w:t>的针对性、响应性、完整性、科学性程度进行综合评审。</w:t>
            </w:r>
          </w:p>
          <w:p>
            <w:pPr>
              <w:widowControl/>
              <w:jc w:val="left"/>
              <w:rPr>
                <w:rFonts w:ascii="宋体" w:hAnsi="宋体"/>
                <w:kern w:val="0"/>
                <w:sz w:val="18"/>
                <w:szCs w:val="18"/>
              </w:rPr>
            </w:pPr>
            <w:r>
              <w:rPr>
                <w:rFonts w:hint="eastAsia" w:ascii="宋体" w:hAnsi="宋体"/>
                <w:kern w:val="0"/>
                <w:sz w:val="18"/>
                <w:szCs w:val="18"/>
              </w:rPr>
              <w:t>方案内容完整、项目针对性强得10分；</w:t>
            </w:r>
          </w:p>
          <w:p>
            <w:pPr>
              <w:widowControl/>
              <w:jc w:val="left"/>
              <w:rPr>
                <w:rFonts w:ascii="宋体" w:hAnsi="宋体"/>
                <w:kern w:val="0"/>
                <w:sz w:val="18"/>
                <w:szCs w:val="18"/>
              </w:rPr>
            </w:pPr>
            <w:r>
              <w:rPr>
                <w:rFonts w:hint="eastAsia" w:ascii="宋体" w:hAnsi="宋体"/>
                <w:kern w:val="0"/>
                <w:sz w:val="18"/>
                <w:szCs w:val="18"/>
              </w:rPr>
              <w:t>方案基本可行、能满足项目需求得5分；</w:t>
            </w:r>
          </w:p>
          <w:p>
            <w:pPr>
              <w:snapToGrid w:val="0"/>
              <w:jc w:val="left"/>
              <w:rPr>
                <w:rFonts w:ascii="宋体" w:hAnsi="宋体"/>
                <w:kern w:val="0"/>
                <w:sz w:val="18"/>
                <w:szCs w:val="18"/>
              </w:rPr>
            </w:pPr>
            <w:r>
              <w:rPr>
                <w:rFonts w:hint="eastAsia" w:ascii="宋体" w:hAnsi="宋体"/>
                <w:kern w:val="0"/>
                <w:sz w:val="18"/>
                <w:szCs w:val="18"/>
              </w:rPr>
              <w:t>方案内容考虑不全面、漏洞较多得1分；</w:t>
            </w:r>
          </w:p>
        </w:tc>
        <w:tc>
          <w:tcPr>
            <w:tcW w:w="886" w:type="dxa"/>
            <w:vAlign w:val="center"/>
          </w:tcPr>
          <w:p>
            <w:pPr>
              <w:snapToGrid w:val="0"/>
              <w:jc w:val="center"/>
              <w:rPr>
                <w:rFonts w:ascii="宋体" w:hAnsi="宋体"/>
                <w:kern w:val="0"/>
                <w:sz w:val="18"/>
                <w:szCs w:val="18"/>
              </w:rPr>
            </w:pPr>
            <w:r>
              <w:rPr>
                <w:rFonts w:hint="eastAsia"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jc w:val="center"/>
              <w:rPr>
                <w:sz w:val="18"/>
                <w:szCs w:val="18"/>
              </w:rPr>
            </w:pPr>
            <w:r>
              <w:rPr>
                <w:rFonts w:hint="eastAsia" w:ascii="宋体" w:hAnsi="宋体"/>
                <w:sz w:val="18"/>
                <w:szCs w:val="18"/>
              </w:rPr>
              <w:t>维护巡检方案</w:t>
            </w:r>
          </w:p>
        </w:tc>
        <w:tc>
          <w:tcPr>
            <w:tcW w:w="5365" w:type="dxa"/>
            <w:vAlign w:val="center"/>
          </w:tcPr>
          <w:p>
            <w:pPr>
              <w:widowControl/>
              <w:jc w:val="left"/>
              <w:rPr>
                <w:rFonts w:ascii="宋体" w:hAnsi="宋体"/>
                <w:kern w:val="0"/>
                <w:sz w:val="18"/>
                <w:szCs w:val="18"/>
              </w:rPr>
            </w:pPr>
            <w:r>
              <w:rPr>
                <w:rFonts w:hint="eastAsia" w:ascii="宋体" w:hAnsi="宋体"/>
                <w:kern w:val="0"/>
                <w:sz w:val="18"/>
                <w:szCs w:val="18"/>
              </w:rPr>
              <w:t>根据供应商提供维护巡检方案的针对性、完整性、科学性程度进行综合评审。</w:t>
            </w:r>
          </w:p>
          <w:p>
            <w:pPr>
              <w:widowControl/>
              <w:jc w:val="left"/>
              <w:rPr>
                <w:rFonts w:ascii="宋体" w:hAnsi="宋体"/>
                <w:kern w:val="0"/>
                <w:sz w:val="18"/>
                <w:szCs w:val="18"/>
              </w:rPr>
            </w:pPr>
            <w:r>
              <w:rPr>
                <w:rFonts w:hint="eastAsia" w:ascii="宋体" w:hAnsi="宋体"/>
                <w:kern w:val="0"/>
                <w:sz w:val="18"/>
                <w:szCs w:val="18"/>
              </w:rPr>
              <w:t>方案内容完整、项目针对性强得10分；</w:t>
            </w:r>
          </w:p>
          <w:p>
            <w:pPr>
              <w:widowControl/>
              <w:jc w:val="left"/>
              <w:rPr>
                <w:rFonts w:ascii="宋体" w:hAnsi="宋体"/>
                <w:kern w:val="0"/>
                <w:sz w:val="18"/>
                <w:szCs w:val="18"/>
              </w:rPr>
            </w:pPr>
            <w:r>
              <w:rPr>
                <w:rFonts w:hint="eastAsia" w:ascii="宋体" w:hAnsi="宋体"/>
                <w:kern w:val="0"/>
                <w:sz w:val="18"/>
                <w:szCs w:val="18"/>
              </w:rPr>
              <w:t>方案基本可行、能满足项目需求得5分；</w:t>
            </w:r>
          </w:p>
          <w:p>
            <w:pPr>
              <w:snapToGrid w:val="0"/>
              <w:jc w:val="left"/>
              <w:rPr>
                <w:rFonts w:ascii="宋体" w:hAnsi="宋体"/>
                <w:kern w:val="0"/>
                <w:sz w:val="18"/>
                <w:szCs w:val="18"/>
              </w:rPr>
            </w:pPr>
            <w:r>
              <w:rPr>
                <w:rFonts w:hint="eastAsia" w:ascii="宋体" w:hAnsi="宋体"/>
                <w:kern w:val="0"/>
                <w:sz w:val="18"/>
                <w:szCs w:val="18"/>
              </w:rPr>
              <w:t>方案内容考虑不全面、漏洞较多得1分；</w:t>
            </w:r>
          </w:p>
        </w:tc>
        <w:tc>
          <w:tcPr>
            <w:tcW w:w="886" w:type="dxa"/>
            <w:vAlign w:val="center"/>
          </w:tcPr>
          <w:p>
            <w:pPr>
              <w:snapToGrid w:val="0"/>
              <w:jc w:val="center"/>
              <w:rPr>
                <w:rFonts w:ascii="宋体" w:hAnsi="宋体"/>
                <w:kern w:val="0"/>
                <w:sz w:val="18"/>
                <w:szCs w:val="18"/>
              </w:rPr>
            </w:pPr>
            <w:r>
              <w:rPr>
                <w:rFonts w:hint="eastAsia"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widowControl/>
              <w:jc w:val="center"/>
              <w:rPr>
                <w:sz w:val="18"/>
                <w:szCs w:val="18"/>
              </w:rPr>
            </w:pPr>
            <w:r>
              <w:rPr>
                <w:rFonts w:hint="eastAsia"/>
                <w:sz w:val="18"/>
                <w:szCs w:val="18"/>
              </w:rPr>
              <w:t>培训方案</w:t>
            </w:r>
          </w:p>
        </w:tc>
        <w:tc>
          <w:tcPr>
            <w:tcW w:w="5365" w:type="dxa"/>
            <w:vAlign w:val="center"/>
          </w:tcPr>
          <w:p>
            <w:pPr>
              <w:widowControl/>
              <w:jc w:val="left"/>
              <w:rPr>
                <w:rFonts w:ascii="宋体" w:hAnsi="宋体"/>
                <w:kern w:val="0"/>
                <w:sz w:val="18"/>
                <w:szCs w:val="18"/>
              </w:rPr>
            </w:pPr>
            <w:r>
              <w:rPr>
                <w:rFonts w:hint="eastAsia" w:ascii="宋体" w:hAnsi="宋体"/>
                <w:kern w:val="0"/>
                <w:sz w:val="18"/>
                <w:szCs w:val="18"/>
              </w:rPr>
              <w:t>根据供应商提供的</w:t>
            </w:r>
            <w:r>
              <w:rPr>
                <w:rFonts w:hint="eastAsia"/>
                <w:sz w:val="18"/>
                <w:szCs w:val="18"/>
              </w:rPr>
              <w:t>培训方案</w:t>
            </w:r>
            <w:r>
              <w:rPr>
                <w:rFonts w:hint="eastAsia" w:ascii="宋体" w:hAnsi="宋体"/>
                <w:kern w:val="0"/>
                <w:sz w:val="18"/>
                <w:szCs w:val="18"/>
              </w:rPr>
              <w:t>的针对性、响应性、完整性、科学性程度进行综合评审。</w:t>
            </w:r>
          </w:p>
          <w:p>
            <w:pPr>
              <w:widowControl/>
              <w:jc w:val="left"/>
              <w:rPr>
                <w:rFonts w:ascii="宋体" w:hAnsi="宋体"/>
                <w:kern w:val="0"/>
                <w:sz w:val="18"/>
                <w:szCs w:val="18"/>
              </w:rPr>
            </w:pPr>
            <w:r>
              <w:rPr>
                <w:rFonts w:hint="eastAsia" w:ascii="宋体" w:hAnsi="宋体"/>
                <w:kern w:val="0"/>
                <w:sz w:val="18"/>
                <w:szCs w:val="18"/>
              </w:rPr>
              <w:t>方案内容完整、项目针对性强得10分；</w:t>
            </w:r>
          </w:p>
          <w:p>
            <w:pPr>
              <w:widowControl/>
              <w:jc w:val="left"/>
              <w:rPr>
                <w:rFonts w:ascii="宋体" w:hAnsi="宋体"/>
                <w:kern w:val="0"/>
                <w:sz w:val="18"/>
                <w:szCs w:val="18"/>
              </w:rPr>
            </w:pPr>
            <w:r>
              <w:rPr>
                <w:rFonts w:hint="eastAsia" w:ascii="宋体" w:hAnsi="宋体"/>
                <w:kern w:val="0"/>
                <w:sz w:val="18"/>
                <w:szCs w:val="18"/>
              </w:rPr>
              <w:t>方案基本可行、能满足项目需求得5分；</w:t>
            </w:r>
          </w:p>
          <w:p>
            <w:pPr>
              <w:widowControl/>
              <w:rPr>
                <w:rFonts w:ascii="宋体" w:hAnsi="宋体"/>
                <w:kern w:val="0"/>
                <w:sz w:val="18"/>
                <w:szCs w:val="18"/>
              </w:rPr>
            </w:pPr>
            <w:r>
              <w:rPr>
                <w:rFonts w:hint="eastAsia" w:ascii="宋体" w:hAnsi="宋体"/>
                <w:kern w:val="0"/>
                <w:sz w:val="18"/>
                <w:szCs w:val="18"/>
              </w:rPr>
              <w:t>方案内容考虑不全面、漏洞较多得1分；</w:t>
            </w:r>
          </w:p>
        </w:tc>
        <w:tc>
          <w:tcPr>
            <w:tcW w:w="886" w:type="dxa"/>
            <w:vAlign w:val="center"/>
          </w:tcPr>
          <w:p>
            <w:pPr>
              <w:widowControl/>
              <w:jc w:val="center"/>
              <w:rPr>
                <w:rFonts w:ascii="宋体" w:hAnsi="宋体"/>
                <w:kern w:val="0"/>
                <w:sz w:val="18"/>
                <w:szCs w:val="18"/>
              </w:rPr>
            </w:pPr>
            <w:r>
              <w:rPr>
                <w:rFonts w:hint="eastAsia"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jc w:val="center"/>
              <w:rPr>
                <w:rFonts w:ascii="宋体" w:hAnsi="宋体"/>
                <w:sz w:val="18"/>
                <w:szCs w:val="18"/>
              </w:rPr>
            </w:pPr>
            <w:r>
              <w:rPr>
                <w:rFonts w:hint="eastAsia" w:ascii="宋体" w:hAnsi="宋体"/>
                <w:sz w:val="18"/>
                <w:szCs w:val="18"/>
              </w:rPr>
              <w:t>售后服务方案</w:t>
            </w:r>
          </w:p>
        </w:tc>
        <w:tc>
          <w:tcPr>
            <w:tcW w:w="5365" w:type="dxa"/>
            <w:vAlign w:val="center"/>
          </w:tcPr>
          <w:p>
            <w:pPr>
              <w:widowControl/>
              <w:jc w:val="left"/>
              <w:rPr>
                <w:rFonts w:ascii="宋体" w:hAnsi="宋体"/>
                <w:kern w:val="0"/>
                <w:sz w:val="18"/>
                <w:szCs w:val="18"/>
              </w:rPr>
            </w:pPr>
            <w:r>
              <w:rPr>
                <w:rFonts w:hint="eastAsia" w:ascii="宋体" w:hAnsi="宋体"/>
                <w:kern w:val="0"/>
                <w:sz w:val="18"/>
                <w:szCs w:val="18"/>
              </w:rPr>
              <w:t>根据供应商提供的售后服务方案的针对性、响应性、完整性、科学性程度进行综合评审。</w:t>
            </w:r>
          </w:p>
          <w:p>
            <w:pPr>
              <w:widowControl/>
              <w:jc w:val="left"/>
              <w:rPr>
                <w:rFonts w:ascii="宋体" w:hAnsi="宋体"/>
                <w:kern w:val="0"/>
                <w:sz w:val="18"/>
                <w:szCs w:val="18"/>
              </w:rPr>
            </w:pPr>
            <w:r>
              <w:rPr>
                <w:rFonts w:hint="eastAsia" w:ascii="宋体" w:hAnsi="宋体"/>
                <w:kern w:val="0"/>
                <w:sz w:val="18"/>
                <w:szCs w:val="18"/>
              </w:rPr>
              <w:t>方案内容完整、项目针对性强得10分；</w:t>
            </w:r>
          </w:p>
          <w:p>
            <w:pPr>
              <w:widowControl/>
              <w:jc w:val="left"/>
              <w:rPr>
                <w:rFonts w:ascii="宋体" w:hAnsi="宋体"/>
                <w:kern w:val="0"/>
                <w:sz w:val="18"/>
                <w:szCs w:val="18"/>
              </w:rPr>
            </w:pPr>
            <w:r>
              <w:rPr>
                <w:rFonts w:hint="eastAsia" w:ascii="宋体" w:hAnsi="宋体"/>
                <w:kern w:val="0"/>
                <w:sz w:val="18"/>
                <w:szCs w:val="18"/>
              </w:rPr>
              <w:t>方案基本可行、能满足项目需求得5分；</w:t>
            </w:r>
          </w:p>
          <w:p>
            <w:pPr>
              <w:snapToGrid w:val="0"/>
              <w:jc w:val="left"/>
              <w:rPr>
                <w:rFonts w:ascii="宋体" w:hAnsi="宋体"/>
                <w:kern w:val="0"/>
                <w:sz w:val="18"/>
                <w:szCs w:val="18"/>
              </w:rPr>
            </w:pPr>
            <w:r>
              <w:rPr>
                <w:rFonts w:hint="eastAsia" w:ascii="宋体" w:hAnsi="宋体"/>
                <w:kern w:val="0"/>
                <w:sz w:val="18"/>
                <w:szCs w:val="18"/>
              </w:rPr>
              <w:t>方案内容考虑不全面、漏洞较多得1分；</w:t>
            </w:r>
          </w:p>
        </w:tc>
        <w:tc>
          <w:tcPr>
            <w:tcW w:w="886" w:type="dxa"/>
            <w:vAlign w:val="center"/>
          </w:tcPr>
          <w:p>
            <w:pPr>
              <w:widowControl/>
              <w:jc w:val="center"/>
              <w:rPr>
                <w:rFonts w:ascii="宋体" w:hAnsi="宋体"/>
                <w:kern w:val="0"/>
                <w:sz w:val="18"/>
                <w:szCs w:val="18"/>
              </w:rPr>
            </w:pPr>
            <w:r>
              <w:rPr>
                <w:rFonts w:hint="eastAsia"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restart"/>
            <w:vAlign w:val="center"/>
          </w:tcPr>
          <w:p>
            <w:pPr>
              <w:widowControl/>
              <w:jc w:val="center"/>
              <w:rPr>
                <w:rFonts w:ascii="宋体" w:hAnsi="宋体"/>
                <w:kern w:val="0"/>
                <w:sz w:val="18"/>
                <w:szCs w:val="18"/>
              </w:rPr>
            </w:pPr>
            <w:r>
              <w:rPr>
                <w:rFonts w:hint="eastAsia" w:ascii="宋体" w:hAnsi="宋体"/>
                <w:kern w:val="0"/>
                <w:sz w:val="18"/>
                <w:szCs w:val="18"/>
              </w:rPr>
              <w:t>商务部分</w:t>
            </w:r>
          </w:p>
          <w:p>
            <w:pPr>
              <w:jc w:val="center"/>
              <w:rPr>
                <w:rFonts w:ascii="宋体" w:hAnsi="宋体"/>
                <w:kern w:val="0"/>
                <w:sz w:val="18"/>
                <w:szCs w:val="18"/>
              </w:rPr>
            </w:pPr>
            <w:r>
              <w:rPr>
                <w:rFonts w:hint="eastAsia" w:ascii="宋体" w:hAnsi="宋体"/>
                <w:kern w:val="0"/>
                <w:sz w:val="18"/>
                <w:szCs w:val="18"/>
              </w:rPr>
              <w:t>（30分）</w:t>
            </w:r>
          </w:p>
        </w:tc>
        <w:tc>
          <w:tcPr>
            <w:tcW w:w="1510" w:type="dxa"/>
            <w:vAlign w:val="center"/>
          </w:tcPr>
          <w:p>
            <w:pPr>
              <w:widowControl/>
              <w:jc w:val="center"/>
              <w:rPr>
                <w:sz w:val="18"/>
                <w:szCs w:val="18"/>
              </w:rPr>
            </w:pPr>
            <w:r>
              <w:rPr>
                <w:rFonts w:hint="eastAsia"/>
                <w:sz w:val="18"/>
                <w:szCs w:val="18"/>
              </w:rPr>
              <w:t>关键岗位</w:t>
            </w:r>
          </w:p>
        </w:tc>
        <w:tc>
          <w:tcPr>
            <w:tcW w:w="5365" w:type="dxa"/>
            <w:vAlign w:val="center"/>
          </w:tcPr>
          <w:p>
            <w:pPr>
              <w:snapToGrid w:val="0"/>
              <w:jc w:val="left"/>
              <w:rPr>
                <w:rFonts w:ascii="宋体" w:hAnsi="宋体"/>
                <w:kern w:val="0"/>
                <w:sz w:val="18"/>
                <w:szCs w:val="18"/>
              </w:rPr>
            </w:pPr>
            <w:r>
              <w:rPr>
                <w:rFonts w:hint="eastAsia" w:ascii="宋体" w:hAnsi="宋体"/>
                <w:kern w:val="0"/>
                <w:sz w:val="18"/>
                <w:szCs w:val="18"/>
              </w:rPr>
              <w:t>（1）项目负责人具有硕士学历的，得1分；具有信息系统项目管理师（高级）证书的，得2分。本项最高得3分，未提供相关人员资格证书证明材料的不得分。</w:t>
            </w:r>
          </w:p>
          <w:p>
            <w:pPr>
              <w:snapToGrid w:val="0"/>
              <w:jc w:val="left"/>
              <w:rPr>
                <w:rFonts w:ascii="宋体" w:hAnsi="宋体"/>
                <w:kern w:val="0"/>
                <w:sz w:val="18"/>
                <w:szCs w:val="18"/>
              </w:rPr>
            </w:pPr>
            <w:r>
              <w:rPr>
                <w:rFonts w:hint="eastAsia" w:ascii="宋体" w:hAnsi="宋体"/>
                <w:kern w:val="0"/>
                <w:sz w:val="18"/>
                <w:szCs w:val="18"/>
              </w:rPr>
              <w:t>（2）软件开发负责人具有信息系统项目管理师（高级）证书、系统规划与管理师（高级）证书的，得3分。本项最高得3分，未提供相关人员资格证书证明材料的不得分。</w:t>
            </w:r>
          </w:p>
        </w:tc>
        <w:tc>
          <w:tcPr>
            <w:tcW w:w="886" w:type="dxa"/>
            <w:vAlign w:val="center"/>
          </w:tcPr>
          <w:p>
            <w:pPr>
              <w:snapToGrid w:val="0"/>
              <w:jc w:val="center"/>
              <w:rPr>
                <w:rFonts w:ascii="宋体" w:hAnsi="宋体"/>
                <w:kern w:val="0"/>
                <w:sz w:val="18"/>
                <w:szCs w:val="18"/>
              </w:rPr>
            </w:pPr>
            <w:r>
              <w:rPr>
                <w:rFonts w:ascii="宋体" w:hAnsi="宋体"/>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widowControl/>
              <w:jc w:val="center"/>
              <w:rPr>
                <w:rFonts w:ascii="宋体" w:hAnsi="宋体"/>
                <w:kern w:val="0"/>
                <w:sz w:val="18"/>
                <w:szCs w:val="18"/>
              </w:rPr>
            </w:pPr>
            <w:r>
              <w:rPr>
                <w:rFonts w:hint="eastAsia" w:ascii="宋体" w:hAnsi="宋体"/>
                <w:kern w:val="0"/>
                <w:sz w:val="18"/>
                <w:szCs w:val="18"/>
              </w:rPr>
              <w:t>体系认证</w:t>
            </w:r>
          </w:p>
        </w:tc>
        <w:tc>
          <w:tcPr>
            <w:tcW w:w="5365" w:type="dxa"/>
            <w:vAlign w:val="center"/>
          </w:tcPr>
          <w:p>
            <w:pPr>
              <w:snapToGrid w:val="0"/>
              <w:jc w:val="left"/>
              <w:rPr>
                <w:rFonts w:ascii="宋体" w:hAnsi="宋体"/>
                <w:kern w:val="0"/>
                <w:sz w:val="18"/>
                <w:szCs w:val="18"/>
              </w:rPr>
            </w:pPr>
            <w:r>
              <w:rPr>
                <w:rFonts w:ascii="宋体" w:hAnsi="宋体"/>
                <w:kern w:val="0"/>
                <w:sz w:val="18"/>
                <w:szCs w:val="18"/>
              </w:rPr>
              <w:t>根据投标人是否获得ISO9001证书（</w:t>
            </w:r>
            <w:r>
              <w:rPr>
                <w:rFonts w:hint="eastAsia" w:ascii="宋体" w:hAnsi="宋体"/>
                <w:kern w:val="0"/>
                <w:sz w:val="18"/>
                <w:szCs w:val="18"/>
              </w:rPr>
              <w:t>质量管理体系认证</w:t>
            </w:r>
            <w:r>
              <w:rPr>
                <w:rFonts w:ascii="宋体" w:hAnsi="宋体"/>
                <w:kern w:val="0"/>
                <w:sz w:val="18"/>
                <w:szCs w:val="18"/>
              </w:rPr>
              <w:t>）、ISO27001证书（信息安全管理体系认证）、ISO20000-1证书（</w:t>
            </w:r>
            <w:r>
              <w:rPr>
                <w:rFonts w:hint="eastAsia" w:ascii="宋体" w:hAnsi="宋体"/>
                <w:kern w:val="0"/>
                <w:sz w:val="18"/>
                <w:szCs w:val="18"/>
              </w:rPr>
              <w:t>信息技术服务管理体系认证</w:t>
            </w:r>
            <w:r>
              <w:rPr>
                <w:rFonts w:ascii="宋体" w:hAnsi="宋体"/>
                <w:kern w:val="0"/>
                <w:sz w:val="18"/>
                <w:szCs w:val="18"/>
              </w:rPr>
              <w:t>）、</w:t>
            </w:r>
            <w:r>
              <w:rPr>
                <w:rFonts w:hint="eastAsia" w:ascii="宋体" w:hAnsi="宋体"/>
                <w:kern w:val="0"/>
                <w:sz w:val="18"/>
                <w:szCs w:val="18"/>
              </w:rPr>
              <w:t>有效期内省级颁发的高新技术技术企业证书和有效期内软件能力成熟度模型（CMMI）3及以上证书</w:t>
            </w:r>
            <w:r>
              <w:rPr>
                <w:rFonts w:ascii="宋体" w:hAnsi="宋体"/>
                <w:kern w:val="0"/>
                <w:sz w:val="18"/>
                <w:szCs w:val="18"/>
              </w:rPr>
              <w:t>，每提供一个有效时间内证明的得</w:t>
            </w:r>
            <w:r>
              <w:rPr>
                <w:rFonts w:hint="eastAsia" w:ascii="宋体" w:hAnsi="宋体"/>
                <w:kern w:val="0"/>
                <w:sz w:val="18"/>
                <w:szCs w:val="18"/>
              </w:rPr>
              <w:t>2</w:t>
            </w:r>
            <w:r>
              <w:rPr>
                <w:rFonts w:ascii="宋体" w:hAnsi="宋体"/>
                <w:kern w:val="0"/>
                <w:sz w:val="18"/>
                <w:szCs w:val="18"/>
              </w:rPr>
              <w:t>分，最高分得10分，需提供证书复印件，未提供不得分。</w:t>
            </w:r>
          </w:p>
        </w:tc>
        <w:tc>
          <w:tcPr>
            <w:tcW w:w="886" w:type="dxa"/>
            <w:vAlign w:val="center"/>
          </w:tcPr>
          <w:p>
            <w:pPr>
              <w:widowControl/>
              <w:jc w:val="center"/>
              <w:rPr>
                <w:rFonts w:ascii="宋体" w:hAnsi="宋体"/>
                <w:kern w:val="0"/>
                <w:sz w:val="18"/>
                <w:szCs w:val="18"/>
              </w:rPr>
            </w:pPr>
            <w:r>
              <w:rPr>
                <w:rFonts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widowControl/>
              <w:jc w:val="center"/>
              <w:rPr>
                <w:rFonts w:ascii="宋体" w:hAnsi="宋体"/>
                <w:kern w:val="0"/>
                <w:sz w:val="18"/>
                <w:szCs w:val="18"/>
              </w:rPr>
            </w:pPr>
            <w:r>
              <w:rPr>
                <w:rFonts w:hint="eastAsia"/>
                <w:sz w:val="18"/>
                <w:szCs w:val="18"/>
              </w:rPr>
              <w:t>类似业绩</w:t>
            </w:r>
          </w:p>
        </w:tc>
        <w:tc>
          <w:tcPr>
            <w:tcW w:w="5365" w:type="dxa"/>
            <w:vAlign w:val="center"/>
          </w:tcPr>
          <w:p>
            <w:pPr>
              <w:snapToGrid w:val="0"/>
              <w:jc w:val="left"/>
              <w:rPr>
                <w:rFonts w:ascii="宋体" w:hAnsi="宋体"/>
                <w:kern w:val="0"/>
                <w:sz w:val="18"/>
                <w:szCs w:val="18"/>
              </w:rPr>
            </w:pPr>
            <w:r>
              <w:rPr>
                <w:rFonts w:ascii="宋体" w:hAnsi="宋体"/>
                <w:kern w:val="0"/>
                <w:sz w:val="18"/>
                <w:szCs w:val="18"/>
              </w:rPr>
              <w:t>投标人</w:t>
            </w:r>
            <w:r>
              <w:rPr>
                <w:rFonts w:hint="eastAsia" w:ascii="宋体" w:hAnsi="宋体"/>
                <w:kern w:val="0"/>
                <w:sz w:val="18"/>
                <w:szCs w:val="18"/>
              </w:rPr>
              <w:t>近三年内需具有完成三甲医院类似项目建设经验和相关维护案例，每提供</w:t>
            </w:r>
            <w:r>
              <w:rPr>
                <w:rFonts w:ascii="宋体" w:hAnsi="宋体"/>
                <w:kern w:val="0"/>
                <w:sz w:val="18"/>
                <w:szCs w:val="18"/>
              </w:rPr>
              <w:t>1</w:t>
            </w:r>
            <w:r>
              <w:rPr>
                <w:rFonts w:hint="eastAsia" w:ascii="宋体" w:hAnsi="宋体"/>
                <w:kern w:val="0"/>
                <w:sz w:val="18"/>
                <w:szCs w:val="18"/>
              </w:rPr>
              <w:t>份，得2分，最高得10分。</w:t>
            </w:r>
          </w:p>
          <w:p>
            <w:pPr>
              <w:snapToGrid w:val="0"/>
              <w:jc w:val="left"/>
              <w:rPr>
                <w:rFonts w:ascii="宋体" w:hAnsi="宋体"/>
                <w:kern w:val="0"/>
                <w:sz w:val="18"/>
                <w:szCs w:val="18"/>
              </w:rPr>
            </w:pPr>
            <w:r>
              <w:rPr>
                <w:rFonts w:hint="eastAsia" w:ascii="宋体" w:hAnsi="宋体"/>
                <w:kern w:val="0"/>
                <w:sz w:val="18"/>
                <w:szCs w:val="18"/>
              </w:rPr>
              <w:t>（每项业绩须提供中标通知书、合同关键页及验收单并加盖供应商公章，扫描件中需体现合同的签约主体、项目名称及内容、合同金额等合同要素的相关内容，否则将不予认可）</w:t>
            </w:r>
          </w:p>
        </w:tc>
        <w:tc>
          <w:tcPr>
            <w:tcW w:w="886" w:type="dxa"/>
            <w:vAlign w:val="center"/>
          </w:tcPr>
          <w:p>
            <w:pPr>
              <w:widowControl/>
              <w:jc w:val="center"/>
              <w:rPr>
                <w:rFonts w:ascii="宋体" w:hAnsi="宋体"/>
                <w:kern w:val="0"/>
                <w:sz w:val="18"/>
                <w:szCs w:val="18"/>
              </w:rPr>
            </w:pPr>
            <w:r>
              <w:rPr>
                <w:rFonts w:hint="eastAsia"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widowControl/>
              <w:jc w:val="center"/>
              <w:rPr>
                <w:rFonts w:ascii="宋体" w:hAnsi="宋体"/>
                <w:kern w:val="0"/>
                <w:sz w:val="18"/>
                <w:szCs w:val="18"/>
              </w:rPr>
            </w:pPr>
            <w:r>
              <w:rPr>
                <w:rFonts w:hint="eastAsia" w:ascii="宋体" w:hAnsi="宋体"/>
                <w:kern w:val="0"/>
                <w:sz w:val="18"/>
                <w:szCs w:val="18"/>
              </w:rPr>
              <w:t>售后服务响应</w:t>
            </w:r>
          </w:p>
        </w:tc>
        <w:tc>
          <w:tcPr>
            <w:tcW w:w="5365" w:type="dxa"/>
            <w:vAlign w:val="center"/>
          </w:tcPr>
          <w:p>
            <w:pPr>
              <w:snapToGrid w:val="0"/>
              <w:jc w:val="left"/>
              <w:rPr>
                <w:rFonts w:ascii="宋体" w:hAnsi="宋体"/>
                <w:kern w:val="0"/>
                <w:sz w:val="18"/>
                <w:szCs w:val="18"/>
              </w:rPr>
            </w:pPr>
            <w:r>
              <w:rPr>
                <w:rFonts w:hint="eastAsia" w:ascii="宋体" w:hAnsi="宋体"/>
                <w:kern w:val="0"/>
                <w:sz w:val="18"/>
                <w:szCs w:val="18"/>
              </w:rPr>
              <w:t>投标人的售后服务点在本市范围内的得4分，以提供的产权证明或租赁合同为准。暂无本市售后服务点但书面承诺中标后建立服务点的得2分，无相关内容不得分。</w:t>
            </w:r>
          </w:p>
          <w:p>
            <w:pPr>
              <w:snapToGrid w:val="0"/>
              <w:jc w:val="left"/>
              <w:rPr>
                <w:rFonts w:ascii="宋体" w:hAnsi="宋体"/>
                <w:strike/>
                <w:kern w:val="0"/>
                <w:sz w:val="18"/>
                <w:szCs w:val="18"/>
              </w:rPr>
            </w:pPr>
            <w:r>
              <w:rPr>
                <w:rFonts w:hint="eastAsia" w:ascii="宋体" w:hAnsi="宋体"/>
                <w:kern w:val="0"/>
                <w:sz w:val="18"/>
                <w:szCs w:val="18"/>
              </w:rPr>
              <w:t>以投标人提供的房屋租赁合同或房产证等相应证明资料为准。未提供的不得分。</w:t>
            </w:r>
          </w:p>
        </w:tc>
        <w:tc>
          <w:tcPr>
            <w:tcW w:w="886" w:type="dxa"/>
            <w:vAlign w:val="center"/>
          </w:tcPr>
          <w:p>
            <w:pPr>
              <w:widowControl/>
              <w:jc w:val="center"/>
              <w:rPr>
                <w:rFonts w:ascii="宋体" w:hAnsi="宋体"/>
                <w:kern w:val="0"/>
                <w:sz w:val="18"/>
                <w:szCs w:val="18"/>
              </w:rPr>
            </w:pPr>
            <w:r>
              <w:rPr>
                <w:rFonts w:hint="eastAsia" w:ascii="宋体" w:hAnsi="宋体"/>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Align w:val="center"/>
          </w:tcPr>
          <w:p>
            <w:pPr>
              <w:widowControl/>
              <w:jc w:val="center"/>
              <w:rPr>
                <w:rFonts w:ascii="宋体" w:hAnsi="宋体"/>
                <w:kern w:val="0"/>
                <w:sz w:val="18"/>
                <w:szCs w:val="18"/>
              </w:rPr>
            </w:pPr>
            <w:r>
              <w:rPr>
                <w:rFonts w:hint="eastAsia" w:ascii="宋体" w:hAnsi="宋体"/>
                <w:kern w:val="0"/>
                <w:sz w:val="18"/>
                <w:szCs w:val="18"/>
              </w:rPr>
              <w:t>投标报价</w:t>
            </w:r>
          </w:p>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r>
              <w:rPr>
                <w:rFonts w:hint="eastAsia" w:ascii="宋体" w:hAnsi="宋体"/>
                <w:kern w:val="0"/>
                <w:sz w:val="18"/>
                <w:szCs w:val="18"/>
              </w:rPr>
              <w:t>分）</w:t>
            </w:r>
          </w:p>
        </w:tc>
        <w:tc>
          <w:tcPr>
            <w:tcW w:w="1510" w:type="dxa"/>
            <w:vAlign w:val="center"/>
          </w:tcPr>
          <w:p>
            <w:pPr>
              <w:widowControl/>
              <w:jc w:val="center"/>
              <w:rPr>
                <w:rFonts w:ascii="宋体" w:hAnsi="宋体"/>
                <w:kern w:val="0"/>
                <w:sz w:val="18"/>
                <w:szCs w:val="18"/>
              </w:rPr>
            </w:pPr>
            <w:r>
              <w:rPr>
                <w:rFonts w:hint="eastAsia" w:ascii="宋体" w:hAnsi="宋体"/>
                <w:kern w:val="0"/>
                <w:sz w:val="18"/>
                <w:szCs w:val="18"/>
              </w:rPr>
              <w:t>低价优先法</w:t>
            </w:r>
          </w:p>
        </w:tc>
        <w:tc>
          <w:tcPr>
            <w:tcW w:w="5365" w:type="dxa"/>
            <w:vAlign w:val="center"/>
          </w:tcPr>
          <w:p>
            <w:pPr>
              <w:widowControl/>
              <w:jc w:val="left"/>
              <w:rPr>
                <w:rFonts w:ascii="宋体" w:hAnsi="宋体"/>
                <w:kern w:val="0"/>
                <w:sz w:val="18"/>
                <w:szCs w:val="18"/>
              </w:rPr>
            </w:pPr>
            <w:r>
              <w:rPr>
                <w:rFonts w:hint="eastAsia" w:ascii="宋体" w:hAnsi="宋体"/>
                <w:kern w:val="0"/>
                <w:sz w:val="18"/>
                <w:szCs w:val="18"/>
              </w:rPr>
              <w:t>满足招标文件要求且第二轮磋商报价最低的投标报价为评标基准价，其价格分为满分。投标人的价格分统一按照下列公式计算：投标报价得分＝（评标基准价/投标报价）×价格权值×100。</w:t>
            </w:r>
          </w:p>
        </w:tc>
        <w:tc>
          <w:tcPr>
            <w:tcW w:w="886" w:type="dxa"/>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85" w:type="dxa"/>
            <w:gridSpan w:val="3"/>
            <w:vAlign w:val="center"/>
          </w:tcPr>
          <w:p>
            <w:pPr>
              <w:jc w:val="center"/>
              <w:rPr>
                <w:rFonts w:ascii="宋体" w:hAnsi="宋体"/>
                <w:kern w:val="0"/>
                <w:sz w:val="18"/>
                <w:szCs w:val="18"/>
              </w:rPr>
            </w:pPr>
            <w:r>
              <w:rPr>
                <w:rFonts w:hint="eastAsia"/>
                <w:sz w:val="18"/>
                <w:szCs w:val="18"/>
              </w:rPr>
              <w:t>合计</w:t>
            </w:r>
          </w:p>
        </w:tc>
        <w:tc>
          <w:tcPr>
            <w:tcW w:w="886" w:type="dxa"/>
            <w:vAlign w:val="center"/>
          </w:tcPr>
          <w:p>
            <w:pPr>
              <w:jc w:val="center"/>
              <w:rPr>
                <w:rFonts w:ascii="宋体" w:hAnsi="宋体"/>
                <w:kern w:val="0"/>
                <w:sz w:val="18"/>
                <w:szCs w:val="18"/>
              </w:rPr>
            </w:pPr>
            <w:r>
              <w:rPr>
                <w:rFonts w:hint="eastAsia"/>
                <w:sz w:val="18"/>
                <w:szCs w:val="18"/>
              </w:rPr>
              <w:t>100</w:t>
            </w:r>
          </w:p>
        </w:tc>
      </w:tr>
      <w:bookmarkEnd w:id="11"/>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ind w:firstLine="360"/>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373A3"/>
    <w:multiLevelType w:val="multilevel"/>
    <w:tmpl w:val="0A3373A3"/>
    <w:lvl w:ilvl="0" w:tentative="0">
      <w:start w:val="1"/>
      <w:numFmt w:val="chineseCountingThousand"/>
      <w:lvlText w:val="第%1章"/>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3"/>
      <w:isLgl/>
      <w:lvlText w:val="%1.%2"/>
      <w:lvlJc w:val="left"/>
      <w:pPr>
        <w:tabs>
          <w:tab w:val="left" w:pos="567"/>
        </w:tabs>
        <w:ind w:left="0" w:firstLine="284"/>
      </w:pPr>
      <w:rPr>
        <w:rFonts w:hint="eastAsia" w:ascii="宋体" w:hAnsi="微软雅黑" w:eastAsia="宋体"/>
        <w:b/>
        <w:i w:val="0"/>
        <w:color w:val="auto"/>
        <w:sz w:val="32"/>
      </w:rPr>
    </w:lvl>
    <w:lvl w:ilvl="2" w:tentative="0">
      <w:start w:val="1"/>
      <w:numFmt w:val="decimal"/>
      <w:isLgl/>
      <w:lvlText w:val="%1.%2.%3"/>
      <w:lvlJc w:val="left"/>
      <w:pPr>
        <w:ind w:left="0" w:firstLine="284"/>
      </w:pPr>
      <w:rPr>
        <w:rFonts w:hint="eastAsia" w:eastAsia="宋体"/>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isLgl/>
      <w:lvlText w:val="%4）"/>
      <w:lvlJc w:val="left"/>
      <w:pPr>
        <w:ind w:left="0" w:firstLine="567"/>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BE02821"/>
    <w:multiLevelType w:val="multilevel"/>
    <w:tmpl w:val="1BE02821"/>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A2063F"/>
    <w:multiLevelType w:val="multilevel"/>
    <w:tmpl w:val="58A2063F"/>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DC5AC4"/>
    <w:multiLevelType w:val="singleLevel"/>
    <w:tmpl w:val="58DC5AC4"/>
    <w:lvl w:ilvl="0" w:tentative="0">
      <w:start w:val="10"/>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lODRlM2JmYmJhMWFjZWE2NTlmMDQ1NGQ0YmIxMWYifQ=="/>
  </w:docVars>
  <w:rsids>
    <w:rsidRoot w:val="00E3725A"/>
    <w:rsid w:val="00020944"/>
    <w:rsid w:val="000960A1"/>
    <w:rsid w:val="000A7E59"/>
    <w:rsid w:val="000B6C70"/>
    <w:rsid w:val="001806A3"/>
    <w:rsid w:val="00182964"/>
    <w:rsid w:val="00191845"/>
    <w:rsid w:val="00191BFE"/>
    <w:rsid w:val="002F6526"/>
    <w:rsid w:val="003E758E"/>
    <w:rsid w:val="006775BE"/>
    <w:rsid w:val="00695310"/>
    <w:rsid w:val="00695F68"/>
    <w:rsid w:val="006E354B"/>
    <w:rsid w:val="00750530"/>
    <w:rsid w:val="008255AF"/>
    <w:rsid w:val="00863B58"/>
    <w:rsid w:val="008D294B"/>
    <w:rsid w:val="008D7C2C"/>
    <w:rsid w:val="008F68B4"/>
    <w:rsid w:val="00925F40"/>
    <w:rsid w:val="009A4465"/>
    <w:rsid w:val="00A06DDD"/>
    <w:rsid w:val="00A71867"/>
    <w:rsid w:val="00A762F5"/>
    <w:rsid w:val="00A84965"/>
    <w:rsid w:val="00AF039F"/>
    <w:rsid w:val="00B93323"/>
    <w:rsid w:val="00BB0890"/>
    <w:rsid w:val="00BE1168"/>
    <w:rsid w:val="00D66154"/>
    <w:rsid w:val="00D83F55"/>
    <w:rsid w:val="00DC4A08"/>
    <w:rsid w:val="00E3725A"/>
    <w:rsid w:val="00E72918"/>
    <w:rsid w:val="00E90E5A"/>
    <w:rsid w:val="00EA5861"/>
    <w:rsid w:val="00F22851"/>
    <w:rsid w:val="00F904E2"/>
    <w:rsid w:val="08CB4480"/>
    <w:rsid w:val="0F517941"/>
    <w:rsid w:val="26076920"/>
    <w:rsid w:val="32E35C5F"/>
    <w:rsid w:val="4A593F9B"/>
    <w:rsid w:val="71A93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cs="Times New Roman"/>
      <w:b/>
      <w:kern w:val="44"/>
      <w:sz w:val="44"/>
      <w:szCs w:val="20"/>
    </w:rPr>
  </w:style>
  <w:style w:type="paragraph" w:styleId="3">
    <w:name w:val="heading 2"/>
    <w:basedOn w:val="1"/>
    <w:next w:val="1"/>
    <w:unhideWhenUsed/>
    <w:qFormat/>
    <w:uiPriority w:val="0"/>
    <w:pPr>
      <w:keepNext/>
      <w:keepLines/>
      <w:numPr>
        <w:ilvl w:val="1"/>
        <w:numId w:val="1"/>
      </w:numPr>
      <w:spacing w:before="60" w:after="60" w:line="360" w:lineRule="auto"/>
      <w:jc w:val="left"/>
      <w:outlineLvl w:val="1"/>
    </w:pPr>
    <w:rPr>
      <w:rFonts w:asciiTheme="majorHAnsi" w:hAnsiTheme="majorHAnsi" w:cstheme="majorBidi"/>
      <w:b/>
      <w:bCs/>
      <w:sz w:val="32"/>
      <w:szCs w:val="32"/>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unhideWhenUsed/>
    <w:qFormat/>
    <w:uiPriority w:val="99"/>
    <w:pPr>
      <w:spacing w:after="120" w:line="360" w:lineRule="auto"/>
      <w:jc w:val="left"/>
    </w:pPr>
    <w:rPr>
      <w:rFonts w:asciiTheme="minorHAnsi" w:hAnsiTheme="minorHAnsi" w:cstheme="minorBidi"/>
      <w:sz w:val="24"/>
    </w:rPr>
  </w:style>
  <w:style w:type="paragraph" w:styleId="5">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autoRedefine/>
    <w:qFormat/>
    <w:uiPriority w:val="0"/>
    <w:pPr>
      <w:tabs>
        <w:tab w:val="center" w:pos="4153"/>
        <w:tab w:val="right" w:pos="8306"/>
      </w:tabs>
      <w:snapToGrid w:val="0"/>
      <w:jc w:val="center"/>
    </w:pPr>
    <w:rPr>
      <w:rFonts w:ascii="宋体" w:hAnsi="宋体" w:cs="Times New Roman"/>
      <w:sz w:val="18"/>
      <w:szCs w:val="18"/>
    </w:rPr>
  </w:style>
  <w:style w:type="paragraph" w:styleId="7">
    <w:name w:val="Title"/>
    <w:basedOn w:val="2"/>
    <w:next w:val="2"/>
    <w:autoRedefine/>
    <w:qFormat/>
    <w:uiPriority w:val="0"/>
    <w:pPr>
      <w:spacing w:before="0" w:after="0" w:line="360" w:lineRule="auto"/>
      <w:contextualSpacing/>
      <w:jc w:val="center"/>
    </w:pPr>
    <w:rPr>
      <w:rFonts w:ascii="宋体" w:hAnsi="宋体" w:eastAsia="仿宋"/>
      <w:bCs/>
      <w:spacing w:val="5"/>
      <w:kern w:val="28"/>
      <w:sz w:val="24"/>
      <w:szCs w:val="52"/>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style>
  <w:style w:type="paragraph" w:customStyle="1" w:styleId="12">
    <w:name w:val="表格图文"/>
    <w:basedOn w:val="1"/>
    <w:autoRedefine/>
    <w:qFormat/>
    <w:uiPriority w:val="0"/>
    <w:rPr>
      <w:rFonts w:cs="Times New Roman"/>
      <w:szCs w:val="22"/>
    </w:rPr>
  </w:style>
  <w:style w:type="paragraph" w:customStyle="1" w:styleId="13">
    <w:name w:val="表格文字"/>
    <w:basedOn w:val="1"/>
    <w:autoRedefine/>
    <w:qFormat/>
    <w:uiPriority w:val="0"/>
    <w:rPr>
      <w:rFonts w:ascii="宋体" w:hAnsi="宋体" w:cs="Times New Roman"/>
      <w:kern w:val="0"/>
      <w:szCs w:val="20"/>
    </w:rPr>
  </w:style>
  <w:style w:type="paragraph" w:customStyle="1" w:styleId="14">
    <w:name w:val="p0"/>
    <w:basedOn w:val="1"/>
    <w:autoRedefine/>
    <w:qFormat/>
    <w:uiPriority w:val="0"/>
    <w:pPr>
      <w:widowControl/>
    </w:pPr>
    <w:rPr>
      <w:kern w:val="0"/>
      <w:szCs w:val="21"/>
    </w:rPr>
  </w:style>
  <w:style w:type="paragraph" w:styleId="15">
    <w:name w:val="List Paragraph"/>
    <w:basedOn w:val="1"/>
    <w:autoRedefine/>
    <w:qFormat/>
    <w:uiPriority w:val="34"/>
    <w:pPr>
      <w:ind w:firstLine="420" w:firstLineChars="200"/>
    </w:pPr>
  </w:style>
  <w:style w:type="paragraph" w:customStyle="1" w:styleId="16">
    <w:name w:val="Default"/>
    <w:basedOn w:val="1"/>
    <w:autoRedefine/>
    <w:qFormat/>
    <w:uiPriority w:val="0"/>
    <w:pPr>
      <w:autoSpaceDE w:val="0"/>
      <w:autoSpaceDN w:val="0"/>
      <w:adjustRightInd w:val="0"/>
      <w:jc w:val="left"/>
    </w:pPr>
    <w:rPr>
      <w:rFonts w:ascii="Times New Roman" w:hAnsi="Times New Roman" w:cs="Times New Roman"/>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7414</Words>
  <Characters>1123</Characters>
  <Lines>9</Lines>
  <Paragraphs>17</Paragraphs>
  <TotalTime>59</TotalTime>
  <ScaleCrop>false</ScaleCrop>
  <LinksUpToDate>false</LinksUpToDate>
  <CharactersWithSpaces>8520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2024-03-27T15:58:00Z</dcterms:created>
  <dc:creator>Administrator</dc:creator>
  <cp:lastModifiedBy>Administrator</cp:lastModifiedBy>
  <cp:lastPrinted>2024-04-01T06:04:00Z</cp:lastPrinted>
  <dcterms:modified xsi:type="dcterms:W3CDTF">2024-04-01T08:06:30Z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667B236DDEF74F5797466C3AF1CFB609_13</vt:lpwstr>
  </property>
</Properties>
</file>