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2520"/>
        </w:tabs>
        <w:spacing w:line="500" w:lineRule="exact"/>
        <w:jc w:val="center"/>
        <w:rPr>
          <w:rFonts w:hAnsi="宋体" w:cs="宋体"/>
          <w:spacing w:val="14"/>
          <w:sz w:val="48"/>
          <w:szCs w:val="48"/>
        </w:rPr>
      </w:pPr>
    </w:p>
    <w:p>
      <w:pPr>
        <w:pStyle w:val="2"/>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2"/>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243" w:leftChars="684" w:hanging="1807" w:hangingChars="500"/>
        <w:rPr>
          <w:rFonts w:ascii="宋体" w:hAnsi="宋体" w:cs="宋体"/>
          <w:b/>
          <w:sz w:val="36"/>
          <w:szCs w:val="36"/>
        </w:rPr>
      </w:pPr>
      <w:r>
        <w:rPr>
          <w:rFonts w:hint="eastAsia" w:ascii="宋体" w:hAnsi="宋体" w:cs="宋体"/>
          <w:b/>
          <w:sz w:val="36"/>
          <w:szCs w:val="36"/>
        </w:rPr>
        <w:t>项目名称：黄石市中心医院除颤仪供应商遴选采购项目</w:t>
      </w:r>
    </w:p>
    <w:p>
      <w:pPr>
        <w:spacing w:line="480" w:lineRule="auto"/>
        <w:ind w:firstLine="1446" w:firstLineChars="400"/>
        <w:rPr>
          <w:rFonts w:ascii="宋体" w:hAnsi="宋体" w:cs="宋体"/>
          <w:b/>
          <w:sz w:val="36"/>
          <w:szCs w:val="36"/>
        </w:rPr>
      </w:pPr>
    </w:p>
    <w:p>
      <w:pPr>
        <w:spacing w:line="480" w:lineRule="auto"/>
        <w:ind w:firstLine="1446" w:firstLineChars="400"/>
        <w:rPr>
          <w:rFonts w:ascii="宋体" w:hAnsi="宋体" w:cs="宋体"/>
          <w:b/>
          <w:sz w:val="36"/>
          <w:szCs w:val="36"/>
          <w:lang w:val="zh-CN"/>
        </w:rPr>
      </w:pP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pPr>
        <w:pStyle w:val="2"/>
        <w:tabs>
          <w:tab w:val="left" w:pos="2520"/>
        </w:tabs>
        <w:spacing w:line="500" w:lineRule="exact"/>
        <w:jc w:val="center"/>
        <w:rPr>
          <w:rFonts w:hAnsi="宋体" w:cs="宋体"/>
          <w:sz w:val="36"/>
          <w:szCs w:val="36"/>
        </w:rPr>
      </w:pPr>
    </w:p>
    <w:p>
      <w:pPr>
        <w:pStyle w:val="2"/>
        <w:tabs>
          <w:tab w:val="left" w:pos="2520"/>
        </w:tabs>
        <w:spacing w:line="500" w:lineRule="exact"/>
        <w:jc w:val="center"/>
        <w:rPr>
          <w:rFonts w:hAnsi="宋体" w:cs="宋体"/>
          <w:sz w:val="72"/>
          <w:szCs w:val="72"/>
        </w:rPr>
      </w:pPr>
    </w:p>
    <w:p>
      <w:pPr>
        <w:pStyle w:val="2"/>
        <w:tabs>
          <w:tab w:val="left" w:pos="2520"/>
        </w:tabs>
        <w:spacing w:line="500" w:lineRule="exact"/>
        <w:rPr>
          <w:rFonts w:hAnsi="宋体" w:cs="宋体"/>
          <w:sz w:val="72"/>
          <w:szCs w:val="72"/>
        </w:rPr>
      </w:pPr>
    </w:p>
    <w:p>
      <w:pPr>
        <w:pStyle w:val="2"/>
        <w:tabs>
          <w:tab w:val="left" w:pos="2520"/>
        </w:tabs>
        <w:spacing w:line="500" w:lineRule="exact"/>
        <w:rPr>
          <w:rFonts w:hAnsi="宋体" w:cs="宋体"/>
          <w:sz w:val="72"/>
          <w:szCs w:val="72"/>
        </w:rPr>
      </w:pPr>
    </w:p>
    <w:p>
      <w:pPr>
        <w:pStyle w:val="2"/>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二〇二四年七月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7"/>
        <w:rPr>
          <w:rFonts w:ascii="宋体" w:hAnsi="宋体" w:cs="宋体"/>
        </w:rPr>
      </w:pPr>
      <w:bookmarkStart w:id="0" w:name="_Toc528493163"/>
      <w:bookmarkStart w:id="1" w:name="_Toc528493130"/>
      <w:bookmarkStart w:id="2" w:name="_Toc528494262"/>
      <w:bookmarkStart w:id="3" w:name="_Toc528493563"/>
      <w:bookmarkStart w:id="4" w:name="_Toc528493082"/>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35393622"/>
      <w:bookmarkStart w:id="6" w:name="_Toc28359080"/>
      <w:bookmarkStart w:id="7" w:name="_Toc28359003"/>
      <w:bookmarkStart w:id="8" w:name="_Toc35393791"/>
      <w:r>
        <w:rPr>
          <w:rFonts w:hint="eastAsia" w:ascii="宋体" w:hAnsi="宋体" w:cs="宋体"/>
          <w:sz w:val="24"/>
          <w:lang w:val="zh-CN"/>
        </w:rPr>
        <w:t>根据黄石市中心医院的需求，就</w:t>
      </w:r>
      <w:r>
        <w:rPr>
          <w:rFonts w:hint="eastAsia" w:ascii="宋体" w:hAnsi="宋体" w:cs="宋体"/>
          <w:sz w:val="24"/>
        </w:rPr>
        <w:t>黄石市中心医院除颤仪供应商遴选采购项目</w:t>
      </w:r>
      <w:r>
        <w:rPr>
          <w:rFonts w:hint="eastAsia" w:ascii="宋体" w:hAnsi="宋体" w:cs="宋体"/>
          <w:sz w:val="24"/>
          <w:lang w:val="zh-CN"/>
        </w:rPr>
        <w:t>以竞争性磋商方式进行采购</w:t>
      </w:r>
      <w:r>
        <w:rPr>
          <w:rFonts w:hint="eastAsia" w:ascii="宋体" w:hAnsi="宋体" w:cs="宋体"/>
          <w:sz w:val="24"/>
        </w:rPr>
        <w:t>，欢迎符合资格条件的磋商供应商参与本项目。</w:t>
      </w:r>
    </w:p>
    <w:bookmarkEnd w:id="5"/>
    <w:bookmarkEnd w:id="6"/>
    <w:bookmarkEnd w:id="7"/>
    <w:bookmarkEnd w:id="8"/>
    <w:p>
      <w:pPr>
        <w:spacing w:line="420" w:lineRule="exact"/>
        <w:rPr>
          <w:rFonts w:ascii="宋体" w:cs="宋体"/>
          <w:sz w:val="18"/>
          <w:szCs w:val="18"/>
        </w:rPr>
      </w:pPr>
      <w:bookmarkStart w:id="9" w:name="_Toc35393792"/>
      <w:bookmarkStart w:id="10" w:name="_Toc28359004"/>
      <w:bookmarkStart w:id="11" w:name="_Toc28359081"/>
      <w:bookmarkStart w:id="12" w:name="_Toc35393623"/>
      <w:r>
        <w:rPr>
          <w:rFonts w:hint="eastAsia" w:ascii="宋体" w:hAnsi="宋体" w:cs="宋体"/>
          <w:b/>
          <w:bCs/>
          <w:sz w:val="24"/>
        </w:rPr>
        <w:t>一、项目内容：</w:t>
      </w:r>
    </w:p>
    <w:p>
      <w:pPr>
        <w:spacing w:line="42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项目名称：黄石市中心医院除颤仪供应商遴选采购项目</w:t>
      </w:r>
    </w:p>
    <w:p>
      <w:pPr>
        <w:spacing w:line="420" w:lineRule="exact"/>
        <w:ind w:firstLine="480" w:firstLineChars="200"/>
        <w:rPr>
          <w:rFonts w:ascii="宋体" w:hAnsi="宋体" w:cs="宋体"/>
          <w:sz w:val="24"/>
        </w:rPr>
      </w:pPr>
      <w:r>
        <w:rPr>
          <w:rFonts w:hint="eastAsia" w:ascii="宋体" w:hAnsi="宋体" w:cs="宋体"/>
          <w:sz w:val="24"/>
        </w:rPr>
        <w:t>2.采购方式：竞争性磋商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预算金额：3万元/台（据实结算）</w:t>
      </w:r>
    </w:p>
    <w:p>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.服务期：2年</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p>
    <w:p>
      <w:pPr>
        <w:spacing w:line="420" w:lineRule="exact"/>
        <w:rPr>
          <w:rFonts w:ascii="宋体" w:cs="宋体"/>
          <w:b/>
          <w:bCs/>
          <w:sz w:val="24"/>
        </w:rPr>
      </w:pPr>
      <w:r>
        <w:rPr>
          <w:rFonts w:hint="eastAsia" w:ascii="宋体" w:hAnsi="宋体" w:cs="宋体"/>
          <w:b/>
          <w:bCs/>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pPr>
        <w:spacing w:line="420" w:lineRule="exact"/>
        <w:rPr>
          <w:rFonts w:ascii="宋体" w:cs="宋体"/>
          <w:b/>
          <w:bCs/>
          <w:sz w:val="24"/>
        </w:rPr>
      </w:pPr>
      <w:bookmarkStart w:id="13" w:name="_Toc28359007"/>
      <w:bookmarkStart w:id="14" w:name="_Toc35393794"/>
      <w:bookmarkStart w:id="15" w:name="_Toc35393625"/>
      <w:bookmarkStart w:id="16" w:name="_Toc28359084"/>
      <w:r>
        <w:rPr>
          <w:rFonts w:hint="eastAsia" w:ascii="宋体" w:hAnsi="宋体" w:cs="宋体"/>
          <w:b/>
          <w:bCs/>
          <w:sz w:val="24"/>
        </w:rPr>
        <w:t>三、报名：</w:t>
      </w:r>
    </w:p>
    <w:p>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sz w:val="24"/>
        </w:rPr>
        <w:t>202</w:t>
      </w:r>
      <w:r>
        <w:rPr>
          <w:rFonts w:hint="eastAsia" w:ascii="宋体" w:hAnsi="宋体" w:cs="宋体"/>
          <w:sz w:val="24"/>
        </w:rPr>
        <w:t>4</w:t>
      </w:r>
      <w:r>
        <w:rPr>
          <w:rFonts w:ascii="宋体" w:hAnsi="宋体" w:cs="宋体"/>
          <w:sz w:val="24"/>
        </w:rPr>
        <w:t>年</w:t>
      </w:r>
      <w:r>
        <w:rPr>
          <w:rFonts w:hint="eastAsia" w:ascii="宋体" w:hAnsi="宋体" w:cs="宋体"/>
          <w:sz w:val="24"/>
        </w:rPr>
        <w:t xml:space="preserve">7 </w:t>
      </w:r>
      <w:r>
        <w:rPr>
          <w:rFonts w:ascii="宋体" w:hAnsi="宋体" w:cs="宋体"/>
          <w:sz w:val="24"/>
        </w:rPr>
        <w:t>月</w:t>
      </w:r>
      <w:r>
        <w:rPr>
          <w:rFonts w:hint="eastAsia" w:ascii="宋体" w:hAnsi="宋体" w:cs="宋体"/>
          <w:sz w:val="24"/>
          <w:lang w:val="en-US" w:eastAsia="zh-CN"/>
        </w:rPr>
        <w:t>9</w:t>
      </w:r>
      <w:r>
        <w:rPr>
          <w:rFonts w:ascii="宋体" w:hAnsi="宋体" w:cs="宋体"/>
          <w:sz w:val="24"/>
        </w:rPr>
        <w:t>日</w:t>
      </w:r>
      <w:r>
        <w:rPr>
          <w:rFonts w:hint="eastAsia" w:ascii="宋体" w:hAnsi="宋体" w:cs="宋体"/>
          <w:sz w:val="24"/>
        </w:rPr>
        <w:t>-</w:t>
      </w:r>
      <w:r>
        <w:rPr>
          <w:rFonts w:ascii="宋体" w:hAnsi="宋体" w:cs="宋体"/>
          <w:sz w:val="24"/>
        </w:rPr>
        <w:t>20</w:t>
      </w:r>
      <w:r>
        <w:rPr>
          <w:rFonts w:hint="eastAsia" w:ascii="宋体" w:hAnsi="宋体" w:cs="宋体"/>
          <w:sz w:val="24"/>
        </w:rPr>
        <w:t xml:space="preserve">24年7 月 </w:t>
      </w:r>
      <w:r>
        <w:rPr>
          <w:rFonts w:hint="eastAsia" w:ascii="宋体" w:hAnsi="宋体" w:cs="宋体"/>
          <w:sz w:val="24"/>
          <w:lang w:val="en-US" w:eastAsia="zh-CN"/>
        </w:rPr>
        <w:t>16</w:t>
      </w:r>
      <w:bookmarkStart w:id="47" w:name="_GoBack"/>
      <w:bookmarkEnd w:id="47"/>
      <w:r>
        <w:rPr>
          <w:rFonts w:hint="eastAsia" w:ascii="宋体" w:hAnsi="宋体" w:cs="宋体"/>
          <w:sz w:val="24"/>
        </w:rPr>
        <w:t>日</w:t>
      </w:r>
    </w:p>
    <w:p>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w:t>
      </w:r>
      <w:r>
        <w:rPr>
          <w:rFonts w:hint="eastAsia" w:ascii="宋体" w:hAnsi="宋体" w:cs="宋体"/>
          <w:sz w:val="24"/>
          <w:lang w:val="en-US" w:eastAsia="zh-CN"/>
        </w:rPr>
        <w:t>市中心医院</w:t>
      </w:r>
      <w:r>
        <w:rPr>
          <w:rFonts w:hint="eastAsia" w:ascii="宋体" w:hAnsi="宋体" w:cs="宋体"/>
          <w:sz w:val="24"/>
        </w:rPr>
        <w:t>官网上发布。</w:t>
      </w:r>
      <w:bookmarkEnd w:id="13"/>
      <w:bookmarkEnd w:id="14"/>
      <w:bookmarkEnd w:id="15"/>
      <w:bookmarkEnd w:id="16"/>
      <w:bookmarkStart w:id="17" w:name="_Toc528493131"/>
      <w:bookmarkStart w:id="18" w:name="_Toc528494275"/>
      <w:bookmarkStart w:id="19" w:name="_Toc528493576"/>
      <w:bookmarkStart w:id="20" w:name="_Toc528493083"/>
      <w:bookmarkStart w:id="21" w:name="_Toc528493164"/>
    </w:p>
    <w:p>
      <w:pPr>
        <w:snapToGrid w:val="0"/>
        <w:spacing w:line="420" w:lineRule="exact"/>
        <w:ind w:firstLine="504" w:firstLineChars="210"/>
        <w:rPr>
          <w:rFonts w:ascii="宋体" w:hAnsi="宋体" w:cs="宋体"/>
          <w:sz w:val="24"/>
        </w:rPr>
      </w:pPr>
      <w:r>
        <w:rPr>
          <w:rFonts w:hint="eastAsia" w:ascii="宋体" w:hAnsi="宋体" w:cs="宋体"/>
          <w:sz w:val="24"/>
        </w:rPr>
        <w:t>4、开标时间：</w:t>
      </w:r>
      <w:r>
        <w:rPr>
          <w:rFonts w:hint="eastAsia" w:ascii="宋体" w:hAnsi="宋体" w:cs="宋体"/>
          <w:sz w:val="24"/>
          <w:lang w:val="en-US" w:eastAsia="zh-CN"/>
        </w:rPr>
        <w:t>报名成功后电话</w:t>
      </w:r>
      <w:r>
        <w:rPr>
          <w:rFonts w:hint="eastAsia" w:ascii="宋体" w:hAnsi="宋体" w:cs="宋体"/>
          <w:sz w:val="24"/>
        </w:rPr>
        <w:t>另行通知</w:t>
      </w:r>
    </w:p>
    <w:p>
      <w:pPr>
        <w:spacing w:line="420" w:lineRule="exact"/>
        <w:ind w:firstLine="420" w:firstLineChars="200"/>
        <w:rPr>
          <w:rFonts w:ascii="宋体" w:hAnsi="宋体" w:cs="宋体"/>
        </w:rPr>
      </w:pPr>
    </w:p>
    <w:p>
      <w:pPr>
        <w:pStyle w:val="7"/>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pPr>
        <w:pStyle w:val="2"/>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2"/>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0"/>
          <w:rFonts w:ascii="宋体" w:hAnsi="宋体" w:cs="宋体"/>
          <w:sz w:val="24"/>
          <w:szCs w:val="24"/>
        </w:rPr>
      </w:pPr>
      <w:r>
        <w:rPr>
          <w:rFonts w:hint="eastAsia" w:ascii="宋体" w:hAnsi="宋体" w:cs="宋体"/>
          <w:b/>
          <w:bCs/>
          <w:sz w:val="24"/>
          <w:szCs w:val="24"/>
        </w:rPr>
        <w:t xml:space="preserve">2. </w:t>
      </w:r>
      <w:r>
        <w:rPr>
          <w:rStyle w:val="10"/>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 xml:space="preserve">2.1“采购人”是指：黄石市中心医院。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0"/>
          <w:rFonts w:hint="eastAsia" w:ascii="宋体" w:hAnsi="宋体" w:cs="宋体"/>
          <w:sz w:val="24"/>
          <w:szCs w:val="24"/>
        </w:rPr>
        <w:t>磋商费用</w:t>
      </w:r>
    </w:p>
    <w:p>
      <w:pPr>
        <w:pStyle w:val="2"/>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2"/>
        <w:adjustRightInd w:val="0"/>
        <w:snapToGrid w:val="0"/>
        <w:spacing w:line="500" w:lineRule="exact"/>
        <w:rPr>
          <w:rFonts w:ascii="Cambria" w:hAnsi="宋体" w:cs="宋体"/>
          <w:b/>
          <w:bCs/>
          <w:kern w:val="28"/>
          <w:sz w:val="24"/>
          <w:szCs w:val="24"/>
        </w:rPr>
      </w:pPr>
      <w:r>
        <w:rPr>
          <w:rStyle w:val="10"/>
          <w:rFonts w:hint="eastAsia" w:hAnsi="宋体" w:cs="宋体"/>
          <w:sz w:val="24"/>
          <w:szCs w:val="24"/>
        </w:rPr>
        <w:t>二、磋商文件</w:t>
      </w:r>
      <w:bookmarkEnd w:id="23"/>
      <w:r>
        <w:rPr>
          <w:rStyle w:val="10"/>
          <w:rFonts w:hint="eastAsia" w:hAnsi="宋体" w:cs="宋体"/>
          <w:sz w:val="24"/>
          <w:szCs w:val="24"/>
        </w:rPr>
        <w:t>的澄清与修改</w:t>
      </w:r>
    </w:p>
    <w:p>
      <w:pPr>
        <w:pStyle w:val="2"/>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2"/>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2"/>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2"/>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0"/>
          <w:rFonts w:ascii="宋体" w:hAnsi="宋体" w:cs="宋体"/>
          <w:sz w:val="24"/>
          <w:szCs w:val="24"/>
        </w:rPr>
      </w:pPr>
      <w:bookmarkStart w:id="24" w:name="_Toc528494278"/>
      <w:r>
        <w:rPr>
          <w:rStyle w:val="10"/>
          <w:rFonts w:hint="eastAsia" w:ascii="宋体" w:hAnsi="宋体" w:cs="宋体"/>
          <w:sz w:val="24"/>
          <w:szCs w:val="24"/>
        </w:rPr>
        <w:t>三、竞争性磋商响应文件</w:t>
      </w:r>
      <w:bookmarkEnd w:id="24"/>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0"/>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0"/>
          <w:rFonts w:ascii="宋体" w:hAnsi="宋体" w:cs="宋体"/>
          <w:sz w:val="24"/>
          <w:szCs w:val="24"/>
        </w:rPr>
      </w:pPr>
      <w:bookmarkStart w:id="25" w:name="_Toc528493132"/>
      <w:bookmarkStart w:id="26" w:name="_Toc528493084"/>
      <w:bookmarkStart w:id="27" w:name="_Toc528493165"/>
      <w:bookmarkStart w:id="28" w:name="_Toc528494280"/>
      <w:bookmarkStart w:id="29" w:name="_Toc528493577"/>
      <w:r>
        <w:rPr>
          <w:rStyle w:val="10"/>
          <w:rFonts w:hint="eastAsia" w:ascii="宋体" w:hAnsi="宋体" w:cs="宋体"/>
          <w:sz w:val="24"/>
          <w:szCs w:val="24"/>
        </w:rPr>
        <w:t>2．磋商报价要求</w:t>
      </w:r>
      <w:bookmarkEnd w:id="25"/>
      <w:bookmarkEnd w:id="26"/>
      <w:bookmarkEnd w:id="27"/>
      <w:bookmarkEnd w:id="28"/>
      <w:bookmarkEnd w:id="29"/>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2"/>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2"/>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0"/>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0"/>
          <w:rFonts w:ascii="宋体" w:hAnsi="宋体" w:cs="宋体"/>
          <w:sz w:val="24"/>
          <w:szCs w:val="24"/>
        </w:rPr>
      </w:pPr>
      <w:bookmarkStart w:id="30" w:name="_Toc528494284"/>
      <w:r>
        <w:rPr>
          <w:rStyle w:val="10"/>
          <w:rFonts w:hint="eastAsia" w:ascii="宋体" w:hAnsi="宋体" w:cs="宋体"/>
          <w:sz w:val="24"/>
          <w:szCs w:val="24"/>
        </w:rPr>
        <w:t>六、确定成交供应商办法</w:t>
      </w:r>
      <w:bookmarkEnd w:id="30"/>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1" w:name="_Toc266776863"/>
      <w:r>
        <w:rPr>
          <w:rFonts w:hint="eastAsia" w:ascii="宋体" w:hAnsi="宋体"/>
          <w:b/>
          <w:sz w:val="24"/>
        </w:rPr>
        <w:t>2、签订合同</w:t>
      </w:r>
      <w:bookmarkEnd w:id="31"/>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pPr>
        <w:pStyle w:val="4"/>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8"/>
        <w:tblpPr w:leftFromText="180" w:rightFromText="180" w:vertAnchor="page" w:horzAnchor="page" w:tblpX="912" w:tblpY="2047"/>
        <w:tblW w:w="5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1382"/>
        <w:gridCol w:w="766"/>
        <w:gridCol w:w="7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618" w:type="pct"/>
            <w:vAlign w:val="center"/>
          </w:tcPr>
          <w:p>
            <w:pPr>
              <w:jc w:val="center"/>
              <w:rPr>
                <w:rFonts w:ascii="宋体" w:hAnsi="宋体"/>
                <w:b/>
                <w:szCs w:val="21"/>
              </w:rPr>
            </w:pPr>
            <w:bookmarkStart w:id="32" w:name="_Toc528494285"/>
            <w:bookmarkStart w:id="33" w:name="_Toc528493579"/>
            <w:bookmarkStart w:id="34" w:name="_Toc528493086"/>
            <w:bookmarkStart w:id="35" w:name="_Toc528493134"/>
            <w:bookmarkStart w:id="36" w:name="_Toc528493167"/>
            <w:r>
              <w:rPr>
                <w:rFonts w:hint="eastAsia" w:ascii="宋体" w:hAnsi="宋体"/>
                <w:b/>
                <w:szCs w:val="21"/>
              </w:rPr>
              <w:t>评审部分</w:t>
            </w:r>
          </w:p>
        </w:tc>
        <w:tc>
          <w:tcPr>
            <w:tcW w:w="637" w:type="pct"/>
            <w:vAlign w:val="center"/>
          </w:tcPr>
          <w:p>
            <w:pPr>
              <w:jc w:val="center"/>
              <w:rPr>
                <w:rFonts w:ascii="宋体" w:hAnsi="宋体"/>
                <w:b/>
                <w:szCs w:val="21"/>
              </w:rPr>
            </w:pPr>
            <w:r>
              <w:rPr>
                <w:rFonts w:hint="eastAsia" w:ascii="宋体" w:hAnsi="宋体"/>
                <w:b/>
                <w:szCs w:val="21"/>
              </w:rPr>
              <w:t>评审类别</w:t>
            </w:r>
          </w:p>
        </w:tc>
        <w:tc>
          <w:tcPr>
            <w:tcW w:w="353" w:type="pct"/>
            <w:vAlign w:val="center"/>
          </w:tcPr>
          <w:p>
            <w:pPr>
              <w:jc w:val="center"/>
              <w:rPr>
                <w:rFonts w:ascii="宋体" w:hAnsi="宋体"/>
                <w:b/>
                <w:szCs w:val="21"/>
              </w:rPr>
            </w:pPr>
            <w:r>
              <w:rPr>
                <w:rFonts w:hint="eastAsia" w:ascii="宋体" w:hAnsi="宋体"/>
                <w:b/>
                <w:szCs w:val="21"/>
              </w:rPr>
              <w:t>分值</w:t>
            </w:r>
          </w:p>
        </w:tc>
        <w:tc>
          <w:tcPr>
            <w:tcW w:w="3392" w:type="pct"/>
            <w:vAlign w:val="center"/>
          </w:tcPr>
          <w:p>
            <w:pPr>
              <w:jc w:val="center"/>
              <w:rPr>
                <w:rFonts w:ascii="宋体" w:hAnsi="宋体"/>
                <w:b/>
                <w:szCs w:val="21"/>
              </w:rPr>
            </w:pPr>
            <w:r>
              <w:rPr>
                <w:rFonts w:hint="eastAsia" w:ascii="宋体" w:hAnsi="宋体"/>
                <w:b/>
                <w:szCs w:val="21"/>
              </w:rPr>
              <w:t>标  准  及  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618" w:type="pct"/>
            <w:vAlign w:val="center"/>
          </w:tcPr>
          <w:p>
            <w:pPr>
              <w:pStyle w:val="6"/>
              <w:jc w:val="center"/>
              <w:rPr>
                <w:bCs/>
                <w:sz w:val="21"/>
                <w:szCs w:val="21"/>
              </w:rPr>
            </w:pPr>
            <w:r>
              <w:rPr>
                <w:rFonts w:hint="eastAsia"/>
                <w:bCs/>
                <w:sz w:val="21"/>
                <w:szCs w:val="21"/>
              </w:rPr>
              <w:t>价格部分</w:t>
            </w:r>
          </w:p>
          <w:p>
            <w:pPr>
              <w:pStyle w:val="6"/>
              <w:jc w:val="center"/>
              <w:rPr>
                <w:bCs/>
                <w:sz w:val="21"/>
                <w:szCs w:val="21"/>
              </w:rPr>
            </w:pPr>
            <w:r>
              <w:rPr>
                <w:rFonts w:hint="eastAsia"/>
                <w:bCs/>
                <w:sz w:val="21"/>
                <w:szCs w:val="21"/>
              </w:rPr>
              <w:t>（30分）</w:t>
            </w:r>
          </w:p>
        </w:tc>
        <w:tc>
          <w:tcPr>
            <w:tcW w:w="637" w:type="pct"/>
            <w:vAlign w:val="center"/>
          </w:tcPr>
          <w:p>
            <w:pPr>
              <w:pStyle w:val="6"/>
              <w:jc w:val="center"/>
              <w:rPr>
                <w:bCs/>
                <w:sz w:val="21"/>
                <w:szCs w:val="21"/>
              </w:rPr>
            </w:pPr>
            <w:r>
              <w:rPr>
                <w:rFonts w:hint="eastAsia"/>
                <w:bCs/>
                <w:sz w:val="21"/>
                <w:szCs w:val="21"/>
              </w:rPr>
              <w:t>磋商报价</w:t>
            </w:r>
          </w:p>
        </w:tc>
        <w:tc>
          <w:tcPr>
            <w:tcW w:w="353" w:type="pct"/>
            <w:vAlign w:val="center"/>
          </w:tcPr>
          <w:p>
            <w:pPr>
              <w:jc w:val="center"/>
              <w:rPr>
                <w:rFonts w:ascii="宋体" w:hAnsi="宋体"/>
                <w:bCs/>
                <w:szCs w:val="21"/>
              </w:rPr>
            </w:pPr>
            <w:r>
              <w:rPr>
                <w:rFonts w:hint="eastAsia" w:ascii="宋体" w:hAnsi="宋体"/>
                <w:bCs/>
                <w:szCs w:val="21"/>
              </w:rPr>
              <w:t>30</w:t>
            </w:r>
          </w:p>
        </w:tc>
        <w:tc>
          <w:tcPr>
            <w:tcW w:w="3392" w:type="pct"/>
            <w:vAlign w:val="center"/>
          </w:tcPr>
          <w:p>
            <w:pPr>
              <w:rPr>
                <w:rFonts w:ascii="宋体" w:hAnsi="宋体"/>
                <w:bCs/>
                <w:szCs w:val="21"/>
              </w:rPr>
            </w:pPr>
            <w:r>
              <w:rPr>
                <w:rFonts w:hint="eastAsia" w:ascii="宋体" w:hAnsi="宋体"/>
                <w:bCs/>
                <w:szCs w:val="21"/>
              </w:rPr>
              <w:t>通过初步审核的有效报价，进入价格评议环节。</w:t>
            </w:r>
          </w:p>
          <w:p>
            <w:pPr>
              <w:rPr>
                <w:rFonts w:ascii="宋体" w:hAnsi="宋体"/>
                <w:bCs/>
                <w:szCs w:val="21"/>
              </w:rPr>
            </w:pPr>
            <w:r>
              <w:rPr>
                <w:rFonts w:hint="eastAsia" w:ascii="宋体" w:hAnsi="宋体"/>
                <w:bCs/>
                <w:szCs w:val="21"/>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pPr>
              <w:rPr>
                <w:rFonts w:ascii="宋体" w:hAnsi="宋体"/>
                <w:bCs/>
                <w:szCs w:val="21"/>
              </w:rPr>
            </w:pPr>
            <w:r>
              <w:rPr>
                <w:rFonts w:hint="eastAsia" w:ascii="宋体" w:hAnsi="宋体"/>
                <w:bCs/>
                <w:szCs w:val="21"/>
              </w:rPr>
              <w:t>磋商报价得分=（评标基准价/磋商报价）×30%×100。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exact"/>
        </w:trPr>
        <w:tc>
          <w:tcPr>
            <w:tcW w:w="618" w:type="pct"/>
            <w:vMerge w:val="restart"/>
            <w:vAlign w:val="center"/>
          </w:tcPr>
          <w:p>
            <w:pPr>
              <w:pStyle w:val="6"/>
              <w:jc w:val="center"/>
              <w:rPr>
                <w:bCs/>
                <w:sz w:val="21"/>
                <w:szCs w:val="21"/>
              </w:rPr>
            </w:pPr>
            <w:r>
              <w:rPr>
                <w:rFonts w:hint="eastAsia"/>
                <w:bCs/>
                <w:sz w:val="21"/>
                <w:szCs w:val="21"/>
              </w:rPr>
              <w:t>技术部分</w:t>
            </w:r>
          </w:p>
          <w:p>
            <w:pPr>
              <w:pStyle w:val="6"/>
              <w:jc w:val="center"/>
              <w:rPr>
                <w:bCs/>
                <w:sz w:val="21"/>
                <w:szCs w:val="21"/>
              </w:rPr>
            </w:pPr>
            <w:r>
              <w:rPr>
                <w:rFonts w:hint="eastAsia"/>
                <w:bCs/>
                <w:sz w:val="21"/>
                <w:szCs w:val="21"/>
              </w:rPr>
              <w:t>（58分）</w:t>
            </w:r>
          </w:p>
        </w:tc>
        <w:tc>
          <w:tcPr>
            <w:tcW w:w="637" w:type="pct"/>
            <w:vAlign w:val="center"/>
          </w:tcPr>
          <w:p>
            <w:pPr>
              <w:pStyle w:val="6"/>
              <w:jc w:val="center"/>
              <w:rPr>
                <w:bCs/>
                <w:sz w:val="21"/>
                <w:szCs w:val="21"/>
              </w:rPr>
            </w:pPr>
            <w:r>
              <w:rPr>
                <w:rFonts w:hint="eastAsia"/>
                <w:bCs/>
                <w:sz w:val="21"/>
                <w:szCs w:val="21"/>
              </w:rPr>
              <w:t>技术指标</w:t>
            </w:r>
          </w:p>
        </w:tc>
        <w:tc>
          <w:tcPr>
            <w:tcW w:w="353" w:type="pct"/>
            <w:vAlign w:val="center"/>
          </w:tcPr>
          <w:p>
            <w:pPr>
              <w:jc w:val="center"/>
              <w:rPr>
                <w:rFonts w:ascii="宋体" w:hAnsi="宋体"/>
                <w:bCs/>
                <w:szCs w:val="21"/>
              </w:rPr>
            </w:pPr>
            <w:r>
              <w:rPr>
                <w:rFonts w:hint="eastAsia" w:ascii="宋体" w:hAnsi="宋体"/>
                <w:bCs/>
                <w:szCs w:val="21"/>
              </w:rPr>
              <w:t>45</w:t>
            </w:r>
          </w:p>
        </w:tc>
        <w:tc>
          <w:tcPr>
            <w:tcW w:w="3392" w:type="pct"/>
            <w:vAlign w:val="center"/>
          </w:tcPr>
          <w:p>
            <w:pPr>
              <w:rPr>
                <w:rFonts w:ascii="宋体" w:hAnsi="宋体"/>
                <w:bCs/>
                <w:szCs w:val="21"/>
              </w:rPr>
            </w:pPr>
            <w:r>
              <w:rPr>
                <w:rFonts w:hint="eastAsia" w:ascii="宋体" w:hAnsi="宋体"/>
                <w:bCs/>
                <w:szCs w:val="21"/>
              </w:rPr>
              <w:t>1）技术指标全部符合招标要求得45分。</w:t>
            </w:r>
          </w:p>
          <w:p>
            <w:pPr>
              <w:ind w:left="369" w:leftChars="3" w:hanging="363" w:hangingChars="173"/>
              <w:rPr>
                <w:rFonts w:ascii="宋体" w:hAnsi="宋体"/>
                <w:bCs/>
                <w:szCs w:val="21"/>
              </w:rPr>
            </w:pPr>
            <w:r>
              <w:rPr>
                <w:rFonts w:hint="eastAsia" w:ascii="宋体" w:hAnsi="宋体"/>
                <w:bCs/>
                <w:szCs w:val="21"/>
              </w:rPr>
              <w:t>2）未标注“*”号的一般性技术参数不满足招标要求的，每一项减2分。</w:t>
            </w:r>
          </w:p>
          <w:p>
            <w:pPr>
              <w:rPr>
                <w:rFonts w:ascii="宋体" w:hAnsi="宋体"/>
                <w:bCs/>
                <w:szCs w:val="21"/>
              </w:rPr>
            </w:pPr>
            <w:r>
              <w:rPr>
                <w:rFonts w:hint="eastAsia" w:ascii="宋体" w:hAnsi="宋体"/>
                <w:bCs/>
                <w:szCs w:val="21"/>
              </w:rPr>
              <w:t>3）标注“*”号的重要性技术</w:t>
            </w:r>
            <w:r>
              <w:rPr>
                <w:rFonts w:ascii="宋体" w:hAnsi="宋体"/>
                <w:bCs/>
                <w:szCs w:val="21"/>
              </w:rPr>
              <w:t>参数</w:t>
            </w:r>
            <w:r>
              <w:rPr>
                <w:rFonts w:hint="eastAsia" w:ascii="宋体" w:hAnsi="宋体"/>
                <w:bCs/>
                <w:szCs w:val="21"/>
              </w:rPr>
              <w:t>不满足招标要求的，每一项减4分。</w:t>
            </w:r>
          </w:p>
          <w:p>
            <w:pPr>
              <w:rPr>
                <w:rFonts w:ascii="宋体" w:hAnsi="宋体"/>
                <w:bCs/>
                <w:szCs w:val="21"/>
              </w:rPr>
            </w:pPr>
            <w:r>
              <w:rPr>
                <w:rFonts w:hint="eastAsia" w:ascii="宋体" w:hAnsi="宋体"/>
                <w:b/>
                <w:szCs w:val="21"/>
              </w:rPr>
              <w:t>说明：</w:t>
            </w:r>
            <w:r>
              <w:rPr>
                <w:rFonts w:ascii="宋体" w:hAnsi="宋体"/>
                <w:b/>
                <w:bCs/>
                <w:szCs w:val="21"/>
              </w:rPr>
              <w:t>技术</w:t>
            </w:r>
            <w:r>
              <w:rPr>
                <w:rFonts w:hint="eastAsia" w:ascii="宋体" w:hAnsi="宋体"/>
                <w:b/>
                <w:bCs/>
                <w:szCs w:val="21"/>
              </w:rPr>
              <w:t>支持</w:t>
            </w:r>
            <w:r>
              <w:rPr>
                <w:rFonts w:ascii="宋体" w:hAnsi="宋体"/>
                <w:b/>
                <w:bCs/>
                <w:szCs w:val="21"/>
              </w:rPr>
              <w:t>资料以制造商公开发布的印刷资料或产品说明书或技术白皮书或检测机构出具的检测报告或文件中允许的其他形式为准，其余资料全部视为无效技术支持资料。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exact"/>
        </w:trPr>
        <w:tc>
          <w:tcPr>
            <w:tcW w:w="618" w:type="pct"/>
            <w:vMerge w:val="continue"/>
            <w:vAlign w:val="center"/>
          </w:tcPr>
          <w:p>
            <w:pPr>
              <w:pStyle w:val="6"/>
              <w:jc w:val="center"/>
              <w:rPr>
                <w:bCs/>
                <w:kern w:val="2"/>
                <w:sz w:val="21"/>
                <w:szCs w:val="21"/>
              </w:rPr>
            </w:pPr>
          </w:p>
        </w:tc>
        <w:tc>
          <w:tcPr>
            <w:tcW w:w="637" w:type="pct"/>
            <w:vAlign w:val="center"/>
          </w:tcPr>
          <w:p>
            <w:pPr>
              <w:pStyle w:val="6"/>
              <w:jc w:val="center"/>
              <w:rPr>
                <w:bCs/>
                <w:kern w:val="2"/>
                <w:sz w:val="21"/>
                <w:szCs w:val="21"/>
              </w:rPr>
            </w:pPr>
            <w:r>
              <w:rPr>
                <w:rFonts w:hint="eastAsia"/>
                <w:bCs/>
                <w:kern w:val="2"/>
                <w:sz w:val="21"/>
                <w:szCs w:val="21"/>
              </w:rPr>
              <w:t>技术优势</w:t>
            </w:r>
          </w:p>
        </w:tc>
        <w:tc>
          <w:tcPr>
            <w:tcW w:w="353" w:type="pct"/>
            <w:vAlign w:val="center"/>
          </w:tcPr>
          <w:p>
            <w:pPr>
              <w:jc w:val="center"/>
              <w:rPr>
                <w:rFonts w:ascii="宋体" w:hAnsi="宋体"/>
                <w:bCs/>
                <w:szCs w:val="21"/>
              </w:rPr>
            </w:pPr>
            <w:r>
              <w:rPr>
                <w:rFonts w:hint="eastAsia" w:ascii="宋体" w:hAnsi="宋体"/>
                <w:bCs/>
                <w:szCs w:val="21"/>
              </w:rPr>
              <w:t>5</w:t>
            </w:r>
          </w:p>
        </w:tc>
        <w:tc>
          <w:tcPr>
            <w:tcW w:w="3392" w:type="pct"/>
            <w:vAlign w:val="center"/>
          </w:tcPr>
          <w:p>
            <w:pPr>
              <w:rPr>
                <w:rFonts w:ascii="宋体" w:hAnsi="宋体"/>
                <w:bCs/>
                <w:szCs w:val="21"/>
              </w:rPr>
            </w:pPr>
            <w:r>
              <w:rPr>
                <w:rFonts w:hint="eastAsia" w:ascii="宋体" w:hAnsi="宋体"/>
                <w:bCs/>
                <w:szCs w:val="21"/>
              </w:rPr>
              <w:t>依据供应商提供的技术支持资料，从生产工艺水平、环境保护、节能效率、损耗情况等方面进行评价：</w:t>
            </w:r>
          </w:p>
          <w:p>
            <w:pPr>
              <w:rPr>
                <w:rFonts w:ascii="宋体" w:hAnsi="宋体"/>
                <w:bCs/>
                <w:szCs w:val="21"/>
              </w:rPr>
            </w:pPr>
            <w:r>
              <w:rPr>
                <w:rFonts w:hint="eastAsia" w:ascii="宋体" w:hAnsi="宋体"/>
                <w:bCs/>
                <w:szCs w:val="21"/>
              </w:rPr>
              <w:t>1）具有行业先进水平、拥有完善的环保体系、采用高效的节能技术、损耗控制体系完善的，得5分；</w:t>
            </w:r>
          </w:p>
          <w:p>
            <w:pPr>
              <w:rPr>
                <w:rFonts w:ascii="宋体" w:hAnsi="宋体"/>
                <w:bCs/>
                <w:szCs w:val="21"/>
              </w:rPr>
            </w:pPr>
            <w:r>
              <w:rPr>
                <w:rFonts w:hint="eastAsia" w:ascii="宋体" w:hAnsi="宋体"/>
                <w:bCs/>
                <w:szCs w:val="21"/>
              </w:rPr>
              <w:t>2）采用行业普遍认可的生产工艺、基本满足环保要求、有一定的节能措施、具有基本的损耗监控和管理措施的，得3分；</w:t>
            </w:r>
          </w:p>
          <w:p>
            <w:pPr>
              <w:rPr>
                <w:rFonts w:ascii="宋体" w:hAnsi="宋体"/>
                <w:bCs/>
                <w:szCs w:val="21"/>
              </w:rPr>
            </w:pPr>
            <w:r>
              <w:rPr>
                <w:rFonts w:hint="eastAsia" w:ascii="宋体" w:hAnsi="宋体"/>
                <w:bCs/>
                <w:szCs w:val="21"/>
              </w:rPr>
              <w:t>3）工艺相对落后、环保措施不足、节能措施欠缺、缺乏损耗监控和管理措施的，得1分；</w:t>
            </w:r>
          </w:p>
          <w:p>
            <w:pPr>
              <w:rPr>
                <w:rFonts w:ascii="宋体" w:hAnsi="宋体"/>
                <w:bCs/>
                <w:szCs w:val="21"/>
              </w:rPr>
            </w:pPr>
            <w:r>
              <w:rPr>
                <w:rFonts w:hint="eastAsia" w:ascii="宋体" w:hAnsi="宋体"/>
                <w:bCs/>
                <w:szCs w:val="21"/>
              </w:rPr>
              <w:t>4）未提供的得0分。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exact"/>
        </w:trPr>
        <w:tc>
          <w:tcPr>
            <w:tcW w:w="618" w:type="pct"/>
            <w:vMerge w:val="continue"/>
            <w:vAlign w:val="center"/>
          </w:tcPr>
          <w:p>
            <w:pPr>
              <w:pStyle w:val="6"/>
              <w:jc w:val="center"/>
              <w:rPr>
                <w:bCs/>
                <w:kern w:val="2"/>
                <w:sz w:val="21"/>
                <w:szCs w:val="21"/>
              </w:rPr>
            </w:pPr>
          </w:p>
        </w:tc>
        <w:tc>
          <w:tcPr>
            <w:tcW w:w="637" w:type="pct"/>
            <w:vAlign w:val="center"/>
          </w:tcPr>
          <w:p>
            <w:pPr>
              <w:jc w:val="center"/>
              <w:rPr>
                <w:rFonts w:ascii="宋体" w:hAnsi="宋体"/>
                <w:bCs/>
                <w:szCs w:val="21"/>
              </w:rPr>
            </w:pPr>
            <w:r>
              <w:rPr>
                <w:rFonts w:hint="eastAsia" w:ascii="宋体" w:hAnsi="宋体"/>
                <w:bCs/>
                <w:szCs w:val="21"/>
              </w:rPr>
              <w:t>整体实施</w:t>
            </w:r>
          </w:p>
        </w:tc>
        <w:tc>
          <w:tcPr>
            <w:tcW w:w="353" w:type="pct"/>
            <w:vAlign w:val="center"/>
          </w:tcPr>
          <w:p>
            <w:pPr>
              <w:jc w:val="center"/>
              <w:rPr>
                <w:rFonts w:ascii="宋体" w:hAnsi="宋体"/>
                <w:bCs/>
                <w:szCs w:val="21"/>
              </w:rPr>
            </w:pPr>
            <w:r>
              <w:rPr>
                <w:rFonts w:hint="eastAsia" w:ascii="宋体" w:hAnsi="宋体"/>
                <w:bCs/>
                <w:szCs w:val="21"/>
              </w:rPr>
              <w:t>4</w:t>
            </w:r>
          </w:p>
        </w:tc>
        <w:tc>
          <w:tcPr>
            <w:tcW w:w="3392" w:type="pct"/>
            <w:vAlign w:val="center"/>
          </w:tcPr>
          <w:p>
            <w:pPr>
              <w:rPr>
                <w:rFonts w:ascii="宋体" w:hAnsi="宋体"/>
                <w:bCs/>
                <w:szCs w:val="21"/>
              </w:rPr>
            </w:pPr>
            <w:r>
              <w:rPr>
                <w:rFonts w:hint="eastAsia" w:ascii="宋体" w:hAnsi="宋体"/>
                <w:bCs/>
                <w:szCs w:val="21"/>
              </w:rPr>
              <w:t>依据供应商提供的供货安装、实施计划、质量保证措施、应急处理措施等方面进行评价：</w:t>
            </w:r>
          </w:p>
          <w:p>
            <w:pPr>
              <w:rPr>
                <w:rFonts w:ascii="宋体" w:hAnsi="宋体"/>
                <w:bCs/>
                <w:szCs w:val="21"/>
              </w:rPr>
            </w:pPr>
            <w:r>
              <w:rPr>
                <w:rFonts w:hint="eastAsia" w:ascii="宋体" w:hAnsi="宋体"/>
                <w:bCs/>
                <w:szCs w:val="21"/>
              </w:rPr>
              <w:t>1）方案及措施清晰、内容详尽、且科学合理、针对性强、完全满足本项目需求的得4分；</w:t>
            </w:r>
          </w:p>
          <w:p>
            <w:pPr>
              <w:rPr>
                <w:rFonts w:ascii="宋体" w:hAnsi="宋体"/>
                <w:bCs/>
                <w:szCs w:val="21"/>
              </w:rPr>
            </w:pPr>
            <w:r>
              <w:rPr>
                <w:rFonts w:hint="eastAsia" w:ascii="宋体" w:hAnsi="宋体"/>
                <w:bCs/>
                <w:szCs w:val="21"/>
              </w:rPr>
              <w:t>2）方案及措施较清晰、内容较详尽、有针对、比较满足本项目需求的得2分；</w:t>
            </w:r>
          </w:p>
          <w:p>
            <w:pPr>
              <w:rPr>
                <w:rFonts w:ascii="宋体" w:hAnsi="宋体"/>
                <w:bCs/>
                <w:szCs w:val="21"/>
              </w:rPr>
            </w:pPr>
            <w:r>
              <w:rPr>
                <w:rFonts w:hint="eastAsia" w:ascii="宋体" w:hAnsi="宋体"/>
                <w:bCs/>
                <w:szCs w:val="21"/>
              </w:rPr>
              <w:t>3）方案及措施有所欠缺、但基本满足本项目需求的得1分；</w:t>
            </w:r>
          </w:p>
          <w:p>
            <w:pPr>
              <w:rPr>
                <w:rFonts w:ascii="宋体" w:hAnsi="宋体"/>
                <w:bCs/>
                <w:szCs w:val="21"/>
              </w:rPr>
            </w:pPr>
            <w:r>
              <w:rPr>
                <w:rFonts w:hint="eastAsia" w:ascii="宋体" w:hAnsi="宋体"/>
                <w:bCs/>
                <w:szCs w:val="21"/>
              </w:rPr>
              <w:t>4）未提供的得0分。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exact"/>
        </w:trPr>
        <w:tc>
          <w:tcPr>
            <w:tcW w:w="618" w:type="pct"/>
            <w:vMerge w:val="continue"/>
            <w:vAlign w:val="center"/>
          </w:tcPr>
          <w:p>
            <w:pPr>
              <w:pStyle w:val="6"/>
              <w:jc w:val="center"/>
              <w:rPr>
                <w:bCs/>
                <w:kern w:val="2"/>
                <w:sz w:val="21"/>
                <w:szCs w:val="21"/>
              </w:rPr>
            </w:pPr>
          </w:p>
        </w:tc>
        <w:tc>
          <w:tcPr>
            <w:tcW w:w="637" w:type="pct"/>
            <w:vAlign w:val="center"/>
          </w:tcPr>
          <w:p>
            <w:pPr>
              <w:pStyle w:val="6"/>
              <w:jc w:val="center"/>
              <w:rPr>
                <w:bCs/>
                <w:kern w:val="2"/>
                <w:sz w:val="21"/>
                <w:szCs w:val="21"/>
              </w:rPr>
            </w:pPr>
            <w:r>
              <w:rPr>
                <w:rFonts w:hint="eastAsia"/>
                <w:bCs/>
                <w:kern w:val="2"/>
                <w:sz w:val="21"/>
                <w:szCs w:val="21"/>
              </w:rPr>
              <w:t>售后服务</w:t>
            </w:r>
          </w:p>
        </w:tc>
        <w:tc>
          <w:tcPr>
            <w:tcW w:w="353" w:type="pct"/>
            <w:vAlign w:val="center"/>
          </w:tcPr>
          <w:p>
            <w:pPr>
              <w:jc w:val="center"/>
              <w:rPr>
                <w:rFonts w:ascii="宋体" w:hAnsi="宋体"/>
                <w:bCs/>
                <w:szCs w:val="21"/>
              </w:rPr>
            </w:pPr>
            <w:r>
              <w:rPr>
                <w:rFonts w:hint="eastAsia" w:ascii="宋体" w:hAnsi="宋体"/>
                <w:bCs/>
                <w:szCs w:val="21"/>
              </w:rPr>
              <w:t>4</w:t>
            </w:r>
          </w:p>
        </w:tc>
        <w:tc>
          <w:tcPr>
            <w:tcW w:w="3392" w:type="pct"/>
            <w:vAlign w:val="center"/>
          </w:tcPr>
          <w:p>
            <w:pPr>
              <w:rPr>
                <w:rFonts w:ascii="宋体" w:hAnsi="宋体"/>
                <w:bCs/>
                <w:szCs w:val="21"/>
              </w:rPr>
            </w:pPr>
            <w:r>
              <w:rPr>
                <w:rFonts w:hint="eastAsia" w:ascii="宋体" w:hAnsi="宋体"/>
                <w:bCs/>
                <w:szCs w:val="21"/>
              </w:rPr>
              <w:t>依据供应商提供的售后服务方案，从售后服务体系、分支机构情况、服务网点分布情况及数量、人员培训方案等方面进行评价：</w:t>
            </w:r>
          </w:p>
          <w:p>
            <w:pPr>
              <w:rPr>
                <w:rFonts w:ascii="宋体" w:hAnsi="宋体"/>
                <w:bCs/>
                <w:szCs w:val="21"/>
              </w:rPr>
            </w:pPr>
            <w:r>
              <w:rPr>
                <w:rFonts w:hint="eastAsia" w:ascii="宋体" w:hAnsi="宋体"/>
                <w:bCs/>
                <w:szCs w:val="21"/>
              </w:rPr>
              <w:t>1）方案及措施清晰、内容详尽、且科学合理、针对性强、完全满足本项目需求的得4分；</w:t>
            </w:r>
          </w:p>
          <w:p>
            <w:pPr>
              <w:rPr>
                <w:rFonts w:ascii="宋体" w:hAnsi="宋体"/>
                <w:bCs/>
                <w:szCs w:val="21"/>
              </w:rPr>
            </w:pPr>
            <w:r>
              <w:rPr>
                <w:rFonts w:hint="eastAsia" w:ascii="宋体" w:hAnsi="宋体"/>
                <w:bCs/>
                <w:szCs w:val="21"/>
              </w:rPr>
              <w:t>2）方案及措施较清晰、内容较详尽、有针对、比较满足本项目需求的得2分；</w:t>
            </w:r>
          </w:p>
          <w:p>
            <w:pPr>
              <w:rPr>
                <w:rFonts w:ascii="宋体" w:hAnsi="宋体"/>
                <w:bCs/>
                <w:szCs w:val="21"/>
              </w:rPr>
            </w:pPr>
            <w:r>
              <w:rPr>
                <w:rFonts w:hint="eastAsia" w:ascii="宋体" w:hAnsi="宋体"/>
                <w:bCs/>
                <w:szCs w:val="21"/>
              </w:rPr>
              <w:t>3）方案及措施有所欠缺、但基本满足本项目需求的得1分；</w:t>
            </w:r>
          </w:p>
          <w:p>
            <w:pPr>
              <w:rPr>
                <w:rFonts w:ascii="宋体" w:hAnsi="宋体"/>
                <w:bCs/>
                <w:szCs w:val="21"/>
              </w:rPr>
            </w:pPr>
            <w:r>
              <w:rPr>
                <w:rFonts w:hint="eastAsia" w:ascii="宋体" w:hAnsi="宋体"/>
                <w:bCs/>
                <w:szCs w:val="21"/>
              </w:rPr>
              <w:t>4）未提供的得0分。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618" w:type="pct"/>
            <w:vMerge w:val="restart"/>
            <w:vAlign w:val="center"/>
          </w:tcPr>
          <w:p>
            <w:pPr>
              <w:pStyle w:val="6"/>
              <w:jc w:val="center"/>
              <w:rPr>
                <w:bCs/>
                <w:sz w:val="21"/>
                <w:szCs w:val="21"/>
              </w:rPr>
            </w:pPr>
            <w:r>
              <w:rPr>
                <w:rFonts w:hint="eastAsia"/>
                <w:bCs/>
                <w:sz w:val="21"/>
                <w:szCs w:val="21"/>
              </w:rPr>
              <w:t>商务部分</w:t>
            </w:r>
          </w:p>
          <w:p>
            <w:pPr>
              <w:pStyle w:val="6"/>
              <w:jc w:val="center"/>
              <w:rPr>
                <w:bCs/>
                <w:sz w:val="21"/>
                <w:szCs w:val="21"/>
              </w:rPr>
            </w:pPr>
            <w:r>
              <w:rPr>
                <w:rFonts w:hint="eastAsia"/>
                <w:bCs/>
                <w:sz w:val="21"/>
                <w:szCs w:val="21"/>
              </w:rPr>
              <w:t>（12分）</w:t>
            </w:r>
          </w:p>
        </w:tc>
        <w:tc>
          <w:tcPr>
            <w:tcW w:w="637" w:type="pct"/>
            <w:vAlign w:val="center"/>
          </w:tcPr>
          <w:p>
            <w:pPr>
              <w:pStyle w:val="6"/>
              <w:jc w:val="center"/>
              <w:rPr>
                <w:bCs/>
                <w:sz w:val="21"/>
                <w:szCs w:val="21"/>
              </w:rPr>
            </w:pPr>
            <w:r>
              <w:rPr>
                <w:rFonts w:hint="eastAsia"/>
                <w:bCs/>
                <w:sz w:val="21"/>
                <w:szCs w:val="21"/>
              </w:rPr>
              <w:t>类似业绩</w:t>
            </w:r>
          </w:p>
        </w:tc>
        <w:tc>
          <w:tcPr>
            <w:tcW w:w="353" w:type="pct"/>
            <w:vAlign w:val="center"/>
          </w:tcPr>
          <w:p>
            <w:pPr>
              <w:jc w:val="center"/>
              <w:rPr>
                <w:rFonts w:ascii="宋体" w:hAnsi="宋体"/>
                <w:bCs/>
                <w:szCs w:val="21"/>
              </w:rPr>
            </w:pPr>
            <w:r>
              <w:rPr>
                <w:rFonts w:hint="eastAsia" w:ascii="宋体" w:hAnsi="宋体"/>
                <w:bCs/>
                <w:szCs w:val="21"/>
              </w:rPr>
              <w:t>4</w:t>
            </w:r>
          </w:p>
        </w:tc>
        <w:tc>
          <w:tcPr>
            <w:tcW w:w="3392" w:type="pct"/>
            <w:vAlign w:val="center"/>
          </w:tcPr>
          <w:p>
            <w:pPr>
              <w:rPr>
                <w:rFonts w:ascii="宋体" w:hAnsi="宋体"/>
                <w:bCs/>
                <w:szCs w:val="21"/>
              </w:rPr>
            </w:pPr>
            <w:r>
              <w:rPr>
                <w:rFonts w:hint="eastAsia" w:ascii="宋体" w:hAnsi="宋体"/>
                <w:bCs/>
                <w:szCs w:val="21"/>
              </w:rPr>
              <w:t>供应商提供类似产品销售业绩或提供所投该机型的厂家或代理商的销售业绩（包含有本项目所投产品至少一项）。提供真实有效的合同复印件或中标通知书为准，每项得1分，最高得4分。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618" w:type="pct"/>
            <w:vMerge w:val="continue"/>
            <w:vAlign w:val="center"/>
          </w:tcPr>
          <w:p>
            <w:pPr>
              <w:jc w:val="center"/>
              <w:rPr>
                <w:rFonts w:ascii="宋体" w:hAnsi="宋体"/>
                <w:bCs/>
                <w:szCs w:val="21"/>
              </w:rPr>
            </w:pPr>
          </w:p>
        </w:tc>
        <w:tc>
          <w:tcPr>
            <w:tcW w:w="637" w:type="pct"/>
            <w:vAlign w:val="center"/>
          </w:tcPr>
          <w:p>
            <w:pPr>
              <w:jc w:val="center"/>
              <w:rPr>
                <w:rFonts w:ascii="宋体" w:hAnsi="宋体"/>
                <w:bCs/>
                <w:szCs w:val="21"/>
              </w:rPr>
            </w:pPr>
            <w:r>
              <w:rPr>
                <w:rFonts w:hint="eastAsia" w:ascii="宋体" w:hAnsi="宋体"/>
                <w:bCs/>
                <w:szCs w:val="21"/>
              </w:rPr>
              <w:t>用户评价</w:t>
            </w:r>
          </w:p>
        </w:tc>
        <w:tc>
          <w:tcPr>
            <w:tcW w:w="353" w:type="pct"/>
            <w:vAlign w:val="center"/>
          </w:tcPr>
          <w:p>
            <w:pPr>
              <w:jc w:val="center"/>
              <w:rPr>
                <w:rFonts w:ascii="宋体" w:hAnsi="宋体"/>
                <w:bCs/>
                <w:szCs w:val="21"/>
              </w:rPr>
            </w:pPr>
            <w:r>
              <w:rPr>
                <w:rFonts w:hint="eastAsia" w:ascii="宋体" w:hAnsi="宋体"/>
                <w:bCs/>
                <w:szCs w:val="21"/>
              </w:rPr>
              <w:t>4</w:t>
            </w:r>
          </w:p>
        </w:tc>
        <w:tc>
          <w:tcPr>
            <w:tcW w:w="3392" w:type="pct"/>
            <w:vAlign w:val="center"/>
          </w:tcPr>
          <w:p>
            <w:pPr>
              <w:rPr>
                <w:rFonts w:ascii="宋体" w:hAnsi="宋体"/>
                <w:bCs/>
                <w:szCs w:val="21"/>
              </w:rPr>
            </w:pPr>
            <w:r>
              <w:rPr>
                <w:rFonts w:hint="eastAsia" w:ascii="宋体" w:hAnsi="宋体"/>
                <w:bCs/>
                <w:szCs w:val="21"/>
              </w:rPr>
              <w:t>提供近两年（2021年1月1日至今）类似中标产品用户使用情况和售后服务评价（必须加盖用户公章并提供用户有效的联系方式）的一项得1分。最多得4分，没有提供或有不良反映的不得分。</w:t>
            </w:r>
          </w:p>
          <w:p>
            <w:pP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618" w:type="pct"/>
            <w:vMerge w:val="continue"/>
            <w:vAlign w:val="center"/>
          </w:tcPr>
          <w:p>
            <w:pPr>
              <w:jc w:val="center"/>
              <w:rPr>
                <w:rFonts w:ascii="宋体" w:hAnsi="宋体"/>
                <w:bCs/>
                <w:szCs w:val="21"/>
              </w:rPr>
            </w:pPr>
          </w:p>
        </w:tc>
        <w:tc>
          <w:tcPr>
            <w:tcW w:w="637" w:type="pct"/>
            <w:vAlign w:val="center"/>
          </w:tcPr>
          <w:p>
            <w:pPr>
              <w:jc w:val="center"/>
              <w:rPr>
                <w:rFonts w:ascii="宋体" w:hAnsi="宋体"/>
                <w:bCs/>
                <w:szCs w:val="21"/>
              </w:rPr>
            </w:pPr>
            <w:r>
              <w:rPr>
                <w:rFonts w:hint="eastAsia" w:ascii="宋体" w:hAnsi="宋体"/>
                <w:bCs/>
                <w:szCs w:val="21"/>
              </w:rPr>
              <w:t>质保期</w:t>
            </w:r>
          </w:p>
        </w:tc>
        <w:tc>
          <w:tcPr>
            <w:tcW w:w="353" w:type="pct"/>
            <w:vAlign w:val="center"/>
          </w:tcPr>
          <w:p>
            <w:pPr>
              <w:jc w:val="center"/>
              <w:rPr>
                <w:rFonts w:ascii="宋体" w:hAnsi="宋体"/>
                <w:bCs/>
                <w:szCs w:val="21"/>
              </w:rPr>
            </w:pPr>
            <w:r>
              <w:rPr>
                <w:rFonts w:hint="eastAsia" w:ascii="宋体" w:hAnsi="宋体"/>
                <w:bCs/>
                <w:szCs w:val="21"/>
              </w:rPr>
              <w:t>2</w:t>
            </w:r>
          </w:p>
        </w:tc>
        <w:tc>
          <w:tcPr>
            <w:tcW w:w="3392" w:type="pct"/>
            <w:vAlign w:val="center"/>
          </w:tcPr>
          <w:p>
            <w:pPr>
              <w:rPr>
                <w:rFonts w:ascii="宋体" w:hAnsi="宋体"/>
                <w:bCs/>
                <w:szCs w:val="21"/>
              </w:rPr>
            </w:pPr>
            <w:r>
              <w:rPr>
                <w:rFonts w:hint="eastAsia" w:ascii="宋体" w:hAnsi="宋体"/>
                <w:bCs/>
                <w:szCs w:val="21"/>
              </w:rPr>
              <w:t>供应商承诺质保期实质性优于采购文件要求的每延长一年加1分，最高得2分。【提供承诺书，格式自拟】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exact"/>
        </w:trPr>
        <w:tc>
          <w:tcPr>
            <w:tcW w:w="618" w:type="pct"/>
            <w:vMerge w:val="continue"/>
            <w:vAlign w:val="center"/>
          </w:tcPr>
          <w:p>
            <w:pPr>
              <w:jc w:val="center"/>
              <w:rPr>
                <w:rFonts w:ascii="宋体" w:hAnsi="宋体"/>
                <w:bCs/>
                <w:szCs w:val="21"/>
              </w:rPr>
            </w:pPr>
          </w:p>
        </w:tc>
        <w:tc>
          <w:tcPr>
            <w:tcW w:w="637" w:type="pct"/>
            <w:vAlign w:val="center"/>
          </w:tcPr>
          <w:p>
            <w:pPr>
              <w:jc w:val="center"/>
              <w:rPr>
                <w:rFonts w:ascii="宋体" w:hAnsi="宋体"/>
                <w:bCs/>
                <w:szCs w:val="21"/>
              </w:rPr>
            </w:pPr>
            <w:r>
              <w:rPr>
                <w:rFonts w:hint="eastAsia" w:ascii="宋体" w:hAnsi="宋体"/>
                <w:bCs/>
                <w:szCs w:val="21"/>
              </w:rPr>
              <w:t>文件制作</w:t>
            </w:r>
          </w:p>
        </w:tc>
        <w:tc>
          <w:tcPr>
            <w:tcW w:w="353" w:type="pct"/>
            <w:vAlign w:val="center"/>
          </w:tcPr>
          <w:p>
            <w:pPr>
              <w:jc w:val="center"/>
              <w:rPr>
                <w:rFonts w:ascii="宋体" w:hAnsi="宋体"/>
                <w:bCs/>
                <w:szCs w:val="21"/>
              </w:rPr>
            </w:pPr>
            <w:r>
              <w:rPr>
                <w:rFonts w:hint="eastAsia" w:ascii="宋体" w:hAnsi="宋体"/>
                <w:bCs/>
                <w:szCs w:val="21"/>
              </w:rPr>
              <w:t>2</w:t>
            </w:r>
          </w:p>
        </w:tc>
        <w:tc>
          <w:tcPr>
            <w:tcW w:w="3392" w:type="pct"/>
            <w:vAlign w:val="center"/>
          </w:tcPr>
          <w:p>
            <w:pPr>
              <w:rPr>
                <w:rFonts w:ascii="宋体" w:hAnsi="宋体"/>
                <w:bCs/>
                <w:szCs w:val="21"/>
              </w:rPr>
            </w:pPr>
            <w:r>
              <w:rPr>
                <w:rFonts w:hint="eastAsia" w:ascii="宋体" w:hAnsi="宋体"/>
                <w:bCs/>
                <w:szCs w:val="21"/>
              </w:rPr>
              <w:t>根据供应商制作的文件从完整性、方便查阅等方面进行评价：</w:t>
            </w:r>
          </w:p>
          <w:p>
            <w:pPr>
              <w:rPr>
                <w:rFonts w:ascii="宋体" w:hAnsi="宋体"/>
                <w:bCs/>
                <w:szCs w:val="21"/>
              </w:rPr>
            </w:pPr>
            <w:r>
              <w:rPr>
                <w:rFonts w:hint="eastAsia" w:ascii="宋体" w:hAnsi="宋体"/>
                <w:bCs/>
                <w:szCs w:val="21"/>
              </w:rPr>
              <w:t>1）文件编制完整、完全响应竞争性磋商文件、有连续页码、有详细目录、目录与有关材料装订顺序对应清晰、查阅方便的，得2分。</w:t>
            </w:r>
          </w:p>
          <w:p>
            <w:pPr>
              <w:rPr>
                <w:rFonts w:ascii="宋体" w:hAnsi="宋体"/>
                <w:bCs/>
                <w:szCs w:val="21"/>
              </w:rPr>
            </w:pPr>
            <w:r>
              <w:rPr>
                <w:rFonts w:hint="eastAsia" w:ascii="宋体" w:hAnsi="宋体"/>
                <w:bCs/>
                <w:szCs w:val="21"/>
              </w:rPr>
              <w:t>2）文件编制较完整、有连续页码、有清晰目录的，得1分。</w:t>
            </w:r>
          </w:p>
          <w:p>
            <w:pPr>
              <w:rPr>
                <w:rFonts w:ascii="宋体" w:hAnsi="宋体"/>
                <w:bCs/>
                <w:szCs w:val="21"/>
              </w:rPr>
            </w:pPr>
            <w:r>
              <w:rPr>
                <w:rFonts w:hint="eastAsia" w:ascii="宋体" w:hAnsi="宋体"/>
                <w:bCs/>
                <w:szCs w:val="21"/>
              </w:rPr>
              <w:t>3）文件编制有错漏、有未按响应文件格式编写的情况、没有目录、有页码与目录不一致情况、出现空白页情况的，不得分。</w:t>
            </w:r>
          </w:p>
        </w:tc>
      </w:tr>
    </w:tbl>
    <w:p>
      <w:pPr>
        <w:pStyle w:val="2"/>
        <w:rPr>
          <w:rFonts w:hAnsi="宋体"/>
          <w:sz w:val="24"/>
          <w:szCs w:val="24"/>
        </w:rPr>
      </w:pPr>
    </w:p>
    <w:p>
      <w:pPr>
        <w:pStyle w:val="7"/>
        <w:rPr>
          <w:rFonts w:ascii="宋体" w:hAnsi="宋体" w:cs="宋体"/>
        </w:rPr>
      </w:pPr>
      <w:r>
        <w:rPr>
          <w:rFonts w:hint="eastAsia" w:ascii="宋体" w:hAnsi="宋体" w:cs="宋体"/>
        </w:rPr>
        <w:t>第四章  采购项目内容及要求</w:t>
      </w:r>
      <w:bookmarkEnd w:id="32"/>
      <w:bookmarkEnd w:id="33"/>
      <w:bookmarkEnd w:id="34"/>
      <w:bookmarkEnd w:id="35"/>
      <w:bookmarkEnd w:id="36"/>
    </w:p>
    <w:p>
      <w:pPr>
        <w:spacing w:line="420" w:lineRule="exact"/>
        <w:rPr>
          <w:rFonts w:ascii="宋体" w:cs="宋体"/>
          <w:sz w:val="18"/>
          <w:szCs w:val="18"/>
        </w:rPr>
      </w:pPr>
      <w:r>
        <w:rPr>
          <w:rFonts w:hint="eastAsia" w:ascii="宋体" w:hAnsi="宋体" w:cs="宋体"/>
          <w:b/>
          <w:bCs/>
          <w:sz w:val="24"/>
        </w:rPr>
        <w:t>一、项目内容：</w:t>
      </w:r>
    </w:p>
    <w:p>
      <w:pPr>
        <w:spacing w:line="420" w:lineRule="exact"/>
        <w:ind w:firstLine="480" w:firstLineChars="200"/>
        <w:rPr>
          <w:rFonts w:ascii="宋体" w:hAnsi="宋体" w:cs="宋体"/>
          <w:sz w:val="24"/>
        </w:rPr>
      </w:pPr>
      <w:bookmarkStart w:id="37" w:name="_Toc528493580"/>
      <w:bookmarkStart w:id="38" w:name="_Toc528494286"/>
      <w:bookmarkStart w:id="39" w:name="_Hlk18936003"/>
      <w:bookmarkStart w:id="40" w:name="_Toc528493135"/>
      <w:bookmarkStart w:id="41" w:name="_Toc528493168"/>
      <w:bookmarkStart w:id="42" w:name="_Toc528493087"/>
      <w:r>
        <w:rPr>
          <w:rFonts w:ascii="宋体" w:hAnsi="宋体" w:cs="宋体"/>
          <w:sz w:val="24"/>
        </w:rPr>
        <w:t>1.</w:t>
      </w:r>
      <w:r>
        <w:rPr>
          <w:rFonts w:hint="eastAsia" w:ascii="宋体" w:hAnsi="宋体" w:cs="宋体"/>
          <w:sz w:val="24"/>
        </w:rPr>
        <w:t>项目名称：黄石市中心医院除颤仪供应商遴选采购项目</w:t>
      </w:r>
    </w:p>
    <w:p>
      <w:pPr>
        <w:spacing w:line="420" w:lineRule="exact"/>
        <w:ind w:firstLine="480" w:firstLineChars="200"/>
        <w:rPr>
          <w:rFonts w:ascii="宋体" w:hAnsi="宋体" w:cs="宋体"/>
          <w:sz w:val="24"/>
        </w:rPr>
      </w:pPr>
      <w:r>
        <w:rPr>
          <w:rFonts w:hint="eastAsia" w:ascii="宋体" w:hAnsi="宋体" w:cs="宋体"/>
          <w:sz w:val="24"/>
        </w:rPr>
        <w:t>2.采购方式：竞争性磋商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预算金额：3万元/台（据实结算）</w:t>
      </w:r>
    </w:p>
    <w:p>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.服务期：2年</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p>
    <w:p>
      <w:pPr>
        <w:pStyle w:val="11"/>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p>
      <w:r>
        <w:rPr>
          <w:rFonts w:hint="eastAsia"/>
        </w:rPr>
        <w:t>1、本设备至少</w:t>
      </w:r>
      <w:r>
        <w:t>具备手动</w:t>
      </w:r>
      <w:r>
        <w:rPr>
          <w:rFonts w:hint="eastAsia"/>
        </w:rPr>
        <w:t>除颤、</w:t>
      </w:r>
      <w:r>
        <w:t>心电监护、呼吸监护、自动体外除颤（AED）功能。</w:t>
      </w:r>
    </w:p>
    <w:p>
      <w:r>
        <w:t>2</w:t>
      </w:r>
      <w:r>
        <w:rPr>
          <w:rFonts w:hint="eastAsia"/>
        </w:rPr>
        <w:t>、本设备具备双相波除颤技术，具备自动阻抗补偿功能。</w:t>
      </w:r>
    </w:p>
    <w:p>
      <w:r>
        <w:rPr>
          <w:rFonts w:hint="eastAsia"/>
        </w:rPr>
        <w:t>3、本设备</w:t>
      </w:r>
      <w:r>
        <w:t>除颤能量选择范围</w:t>
      </w:r>
      <w:r>
        <w:rPr>
          <w:rFonts w:hint="eastAsia"/>
        </w:rPr>
        <w:t>至少满足</w:t>
      </w:r>
      <w:r>
        <w:t>1</w:t>
      </w:r>
      <w:r>
        <w:rPr>
          <w:rFonts w:hint="eastAsia"/>
        </w:rPr>
        <w:t>—</w:t>
      </w:r>
      <w:r>
        <w:t>200J</w:t>
      </w:r>
      <w:r>
        <w:rPr>
          <w:rFonts w:hint="eastAsia"/>
        </w:rPr>
        <w:t>，多</w:t>
      </w:r>
      <w:r>
        <w:t>档能量可调</w:t>
      </w:r>
      <w:r>
        <w:rPr>
          <w:rFonts w:hint="eastAsia"/>
        </w:rPr>
        <w:t>。</w:t>
      </w:r>
    </w:p>
    <w:p>
      <w:r>
        <w:rPr>
          <w:rFonts w:hint="eastAsia"/>
        </w:rPr>
        <w:t>4、手动除颤分为同步和非同步两种方式，</w:t>
      </w:r>
      <w:r>
        <w:t>可通过体外电极板进行能量选择</w:t>
      </w:r>
      <w:r>
        <w:rPr>
          <w:rFonts w:hint="eastAsia"/>
        </w:rPr>
        <w:t>、控制除颤</w:t>
      </w:r>
      <w:r>
        <w:t>。</w:t>
      </w:r>
    </w:p>
    <w:p>
      <w:r>
        <w:rPr>
          <w:rFonts w:hint="eastAsia"/>
        </w:rPr>
        <w:t>5、</w:t>
      </w:r>
      <w:bookmarkStart w:id="43" w:name="_Hlk100599380"/>
      <w:r>
        <w:rPr>
          <w:rFonts w:hint="eastAsia"/>
        </w:rPr>
        <w:t>★</w:t>
      </w:r>
      <w:bookmarkEnd w:id="43"/>
      <w:r>
        <w:rPr>
          <w:rFonts w:hint="eastAsia"/>
        </w:rPr>
        <w:t>充能时间：电池供电时，能量达到</w:t>
      </w:r>
      <w:r>
        <w:t>200J</w:t>
      </w:r>
      <w:r>
        <w:rPr>
          <w:rFonts w:hint="eastAsia"/>
        </w:rPr>
        <w:t>充电时间不大于</w:t>
      </w:r>
      <w:r>
        <w:t>5秒</w:t>
      </w:r>
      <w:r>
        <w:rPr>
          <w:rFonts w:hint="eastAsia"/>
        </w:rPr>
        <w:t>；</w:t>
      </w:r>
      <w:r>
        <w:t>交流电供电时</w:t>
      </w:r>
      <w:r>
        <w:rPr>
          <w:rFonts w:hint="eastAsia"/>
        </w:rPr>
        <w:t>能量达到</w:t>
      </w:r>
      <w:r>
        <w:t>200J</w:t>
      </w:r>
      <w:r>
        <w:rPr>
          <w:rFonts w:hint="eastAsia"/>
        </w:rPr>
        <w:t>充电时间不大于</w:t>
      </w:r>
      <w:r>
        <w:t>8秒</w:t>
      </w:r>
      <w:r>
        <w:rPr>
          <w:rFonts w:hint="eastAsia"/>
        </w:rPr>
        <w:t>。</w:t>
      </w:r>
    </w:p>
    <w:p>
      <w:r>
        <w:rPr>
          <w:rFonts w:hint="eastAsia"/>
        </w:rPr>
        <w:t>6、本设备配备成人、小儿电极板。</w:t>
      </w:r>
    </w:p>
    <w:p>
      <w:r>
        <w:t>7</w:t>
      </w:r>
      <w:r>
        <w:rPr>
          <w:rFonts w:hint="eastAsia"/>
        </w:rPr>
        <w:t>、★本设备蓄电池至少支持</w:t>
      </w:r>
      <w:r>
        <w:t>100次以上200J除颤</w:t>
      </w:r>
      <w:r>
        <w:rPr>
          <w:rFonts w:hint="eastAsia"/>
        </w:rPr>
        <w:t>。</w:t>
      </w:r>
    </w:p>
    <w:p>
      <w:r>
        <w:t>8</w:t>
      </w:r>
      <w:r>
        <w:rPr>
          <w:rFonts w:hint="eastAsia"/>
        </w:rPr>
        <w:t>、本设备</w:t>
      </w:r>
      <w:r>
        <w:t>监护</w:t>
      </w:r>
      <w:r>
        <w:rPr>
          <w:rFonts w:hint="eastAsia"/>
        </w:rPr>
        <w:t>功能至少含</w:t>
      </w:r>
      <w:r>
        <w:t>心电波形、心率、呼吸</w:t>
      </w:r>
      <w:r>
        <w:rPr>
          <w:rFonts w:hint="eastAsia"/>
        </w:rPr>
        <w:t>。</w:t>
      </w:r>
    </w:p>
    <w:p>
      <w:r>
        <w:t>9</w:t>
      </w:r>
      <w:r>
        <w:rPr>
          <w:rFonts w:hint="eastAsia"/>
        </w:rPr>
        <w:t>、本设备</w:t>
      </w:r>
      <w:r>
        <w:t>心电监护</w:t>
      </w:r>
      <w:r>
        <w:rPr>
          <w:rFonts w:hint="eastAsia"/>
        </w:rPr>
        <w:t>支持</w:t>
      </w:r>
      <w:r>
        <w:t>3导</w:t>
      </w:r>
      <w:r>
        <w:rPr>
          <w:rFonts w:hint="eastAsia"/>
        </w:rPr>
        <w:t>/</w:t>
      </w:r>
      <w:r>
        <w:t>5导</w:t>
      </w:r>
      <w:r>
        <w:rPr>
          <w:rFonts w:hint="eastAsia"/>
        </w:rPr>
        <w:t>/</w:t>
      </w:r>
      <w:r>
        <w:t>12导心电</w:t>
      </w:r>
      <w:r>
        <w:rPr>
          <w:rFonts w:hint="eastAsia"/>
        </w:rPr>
        <w:t>监护。</w:t>
      </w:r>
    </w:p>
    <w:p>
      <w:r>
        <w:t>10</w:t>
      </w:r>
      <w:r>
        <w:rPr>
          <w:rFonts w:hint="eastAsia"/>
        </w:rPr>
        <w:t>、</w:t>
      </w:r>
      <w:r>
        <w:t>心电波形扫描时间&gt;10s，扫描长度&gt;100mm</w:t>
      </w:r>
      <w:r>
        <w:rPr>
          <w:rFonts w:hint="eastAsia"/>
        </w:rPr>
        <w:t>。</w:t>
      </w:r>
    </w:p>
    <w:p>
      <w:r>
        <w:t>11</w:t>
      </w:r>
      <w:r>
        <w:rPr>
          <w:rFonts w:hint="eastAsia"/>
        </w:rPr>
        <w:t>、</w:t>
      </w:r>
      <w:r>
        <w:t>心电信号范围</w:t>
      </w:r>
      <w:r>
        <w:rPr>
          <w:rFonts w:hint="eastAsia"/>
        </w:rPr>
        <w:t>至少满足</w:t>
      </w:r>
      <w:r>
        <w:t>0.2mV</w:t>
      </w:r>
      <w:r>
        <w:rPr>
          <w:rFonts w:hint="eastAsia"/>
        </w:rPr>
        <w:t>—</w:t>
      </w:r>
      <w:r>
        <w:t>0.8mV</w:t>
      </w:r>
      <w:r>
        <w:rPr>
          <w:rFonts w:hint="eastAsia"/>
        </w:rPr>
        <w:t>。</w:t>
      </w:r>
    </w:p>
    <w:p>
      <w:r>
        <w:t>12</w:t>
      </w:r>
      <w:r>
        <w:rPr>
          <w:rFonts w:hint="eastAsia"/>
        </w:rPr>
        <w:t>、</w:t>
      </w:r>
      <w:r>
        <w:t>心率测量精度</w:t>
      </w:r>
      <w:r>
        <w:rPr>
          <w:rFonts w:hint="eastAsia"/>
        </w:rPr>
        <w:t>至少达到</w:t>
      </w:r>
      <w:r>
        <w:t>±1bpm或±1%</w:t>
      </w:r>
      <w:r>
        <w:rPr>
          <w:rFonts w:hint="eastAsia"/>
        </w:rPr>
        <w:t>。</w:t>
      </w:r>
    </w:p>
    <w:p>
      <w:r>
        <w:t>13</w:t>
      </w:r>
      <w:r>
        <w:rPr>
          <w:rFonts w:hint="eastAsia"/>
        </w:rPr>
        <w:t>、本设备具备生理、技术分级声光报警功能。</w:t>
      </w:r>
    </w:p>
    <w:p>
      <w:r>
        <w:t>14</w:t>
      </w:r>
      <w:r>
        <w:rPr>
          <w:rFonts w:hint="eastAsia"/>
        </w:rPr>
        <w:t>、本设备具备</w:t>
      </w:r>
      <w:r>
        <w:t>中文操作界面</w:t>
      </w:r>
      <w:r>
        <w:rPr>
          <w:rFonts w:hint="eastAsia"/>
        </w:rPr>
        <w:t>，</w:t>
      </w:r>
      <w:r>
        <w:t>AED</w:t>
      </w:r>
      <w:r>
        <w:rPr>
          <w:rFonts w:hint="eastAsia"/>
        </w:rPr>
        <w:t>功能具备</w:t>
      </w:r>
      <w:r>
        <w:t>中文语音提示。</w:t>
      </w:r>
    </w:p>
    <w:p>
      <w:r>
        <w:rPr>
          <w:rFonts w:hint="eastAsia"/>
        </w:rPr>
        <w:t>1</w:t>
      </w:r>
      <w:r>
        <w:t>5</w:t>
      </w:r>
      <w:r>
        <w:rPr>
          <w:rFonts w:hint="eastAsia"/>
        </w:rPr>
        <w:t>、本设备配备内置记录仪，采用高分辨率热敏点阵打印记录方式，记录通道</w:t>
      </w:r>
      <w:r>
        <w:t>不少于3通道波形</w:t>
      </w:r>
      <w:r>
        <w:rPr>
          <w:rFonts w:hint="eastAsia"/>
        </w:rPr>
        <w:t>，可自动打印除颤记录。</w:t>
      </w:r>
    </w:p>
    <w:p>
      <w:r>
        <w:rPr>
          <w:rFonts w:hint="eastAsia"/>
        </w:rPr>
        <w:t>1</w:t>
      </w:r>
      <w:r>
        <w:t>6</w:t>
      </w:r>
      <w:r>
        <w:rPr>
          <w:rFonts w:hint="eastAsia"/>
        </w:rPr>
        <w:t>、本设备采用彩色显示屏，不小于5英寸，分辨率至少达到80</w:t>
      </w:r>
      <w:r>
        <w:t>0×480，</w:t>
      </w:r>
      <w:r>
        <w:rPr>
          <w:rFonts w:hint="eastAsia"/>
        </w:rPr>
        <w:t>至少</w:t>
      </w:r>
      <w:r>
        <w:t>可显示3通道监护参数波形</w:t>
      </w:r>
      <w:r>
        <w:rPr>
          <w:rFonts w:hint="eastAsia"/>
        </w:rPr>
        <w:t>。</w:t>
      </w:r>
    </w:p>
    <w:p>
      <w:r>
        <w:t>17</w:t>
      </w:r>
      <w:r>
        <w:rPr>
          <w:rFonts w:hint="eastAsia"/>
        </w:rPr>
        <w:t>、本设备</w:t>
      </w:r>
      <w:r>
        <w:t>可存储24小时连续ECG波形，数据可导出</w:t>
      </w:r>
      <w:r>
        <w:rPr>
          <w:rFonts w:hint="eastAsia"/>
        </w:rPr>
        <w:t>。</w:t>
      </w:r>
    </w:p>
    <w:p>
      <w:r>
        <w:t>18</w:t>
      </w:r>
      <w:r>
        <w:rPr>
          <w:rFonts w:hint="eastAsia"/>
        </w:rPr>
        <w:t>、本设备具备数据通讯及</w:t>
      </w:r>
      <w:r>
        <w:t>网络</w:t>
      </w:r>
      <w:r>
        <w:rPr>
          <w:rFonts w:hint="eastAsia"/>
        </w:rPr>
        <w:t>连接</w:t>
      </w:r>
      <w:r>
        <w:t>功能</w:t>
      </w:r>
      <w:r>
        <w:rPr>
          <w:rFonts w:hint="eastAsia"/>
        </w:rPr>
        <w:t>。</w:t>
      </w:r>
    </w:p>
    <w:p>
      <w:r>
        <w:rPr>
          <w:rFonts w:hint="eastAsia"/>
        </w:rPr>
        <w:t>19、本设备技术参数</w:t>
      </w:r>
      <w:r>
        <w:t>符合除颤国际专用安全标准IEC60601-2-4:2002。</w:t>
      </w:r>
      <w:bookmarkStart w:id="44" w:name="_Hlk100601864"/>
      <w:r>
        <w:rPr>
          <w:rFonts w:hint="eastAsia"/>
        </w:rPr>
        <w:t>（提供证明资料）</w:t>
      </w:r>
      <w:bookmarkEnd w:id="44"/>
    </w:p>
    <w:p>
      <w:r>
        <w:rPr>
          <w:rFonts w:hint="eastAsia"/>
        </w:rPr>
        <w:t>20、本设备抗跌落能力</w:t>
      </w:r>
      <w:r>
        <w:t>满足救护车标准EN1789关于跌落试验的要求</w:t>
      </w:r>
      <w:r>
        <w:rPr>
          <w:rFonts w:hint="eastAsia"/>
        </w:rPr>
        <w:t>。</w:t>
      </w:r>
      <w:bookmarkStart w:id="45" w:name="_Hlk100602070"/>
      <w:r>
        <w:rPr>
          <w:rFonts w:hint="eastAsia"/>
        </w:rPr>
        <w:t>（提供证明资料）</w:t>
      </w:r>
    </w:p>
    <w:bookmarkEnd w:id="45"/>
    <w:p>
      <w:r>
        <w:rPr>
          <w:rFonts w:hint="eastAsia"/>
        </w:rPr>
        <w:t>21、★本设备防水级别至少达到</w:t>
      </w:r>
      <w:r>
        <w:t>IPX4。</w:t>
      </w:r>
    </w:p>
    <w:p>
      <w:bookmarkStart w:id="46" w:name="_Hlk100602038"/>
      <w:r>
        <w:rPr>
          <w:rFonts w:hint="eastAsia"/>
        </w:rPr>
        <w:t>22、电极板支持能量选择，充电和放电三步操作，满足单人除颤操作。</w:t>
      </w:r>
    </w:p>
    <w:p>
      <w:r>
        <w:rPr>
          <w:rFonts w:hint="eastAsia"/>
        </w:rPr>
        <w:t>23、开机时间≤2s。</w:t>
      </w:r>
    </w:p>
    <w:p>
      <w:pPr>
        <w:rPr>
          <w:rFonts w:eastAsiaTheme="minorEastAsia"/>
        </w:rPr>
      </w:pPr>
      <w:r>
        <w:rPr>
          <w:rFonts w:hint="eastAsia"/>
        </w:rPr>
        <w:t>24、★具备病人接触状态和阻抗值实时显示功能。</w:t>
      </w:r>
    </w:p>
    <w:p>
      <w:r>
        <w:rPr>
          <w:rFonts w:hint="eastAsia"/>
        </w:rPr>
        <w:t>25、通过心电电极片可监测的心律失常分析种类≥20种。</w:t>
      </w:r>
    </w:p>
    <w:p>
      <w:r>
        <w:rPr>
          <w:rFonts w:hint="eastAsia"/>
        </w:rPr>
        <w:t>26、供应商承诺提供免费使用及维护培训。</w:t>
      </w:r>
    </w:p>
    <w:p>
      <w:pPr>
        <w:rPr>
          <w:rFonts w:hint="eastAsia"/>
        </w:rPr>
      </w:pPr>
      <w:r>
        <w:rPr>
          <w:rFonts w:hint="eastAsia"/>
        </w:rPr>
        <w:t>27、供应商承诺两年内可提供同款机型，两年内采购同款机型按中标价据实结算。</w:t>
      </w:r>
    </w:p>
    <w:p>
      <w:pPr>
        <w:rPr>
          <w:rFonts w:hint="eastAsia" w:eastAsiaTheme="minorEastAsia"/>
        </w:rPr>
      </w:pPr>
    </w:p>
    <w:bookmarkEnd w:id="46"/>
    <w:p>
      <w:pPr>
        <w:rPr>
          <w:b/>
          <w:bCs/>
          <w:sz w:val="28"/>
          <w:szCs w:val="28"/>
        </w:rPr>
      </w:pPr>
    </w:p>
    <w:p/>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9000"/>
        <w:tab w:val="clear" w:pos="8306"/>
      </w:tabs>
      <w:ind w:right="-334" w:rightChars="-159"/>
      <w:jc w:val="center"/>
    </w:pPr>
    <w:r>
      <w:fldChar w:fldCharType="begin"/>
    </w:r>
    <w:r>
      <w:instrText xml:space="preserve">PAGE   \* MERGEFORMAT</w:instrText>
    </w:r>
    <w:r>
      <w:fldChar w:fldCharType="separate"/>
    </w:r>
    <w:r>
      <w:rPr>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ODRlM2JmYmJhMWFjZWE2NTlmMDQ1NGQ0YmIxMWYifQ=="/>
  </w:docVars>
  <w:rsids>
    <w:rsidRoot w:val="002E37E8"/>
    <w:rsid w:val="002E37E8"/>
    <w:rsid w:val="002F055D"/>
    <w:rsid w:val="003F64C4"/>
    <w:rsid w:val="00AB109E"/>
    <w:rsid w:val="3C553D55"/>
    <w:rsid w:val="3DC43C37"/>
    <w:rsid w:val="6E706FC8"/>
    <w:rsid w:val="7CFB1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0"/>
    <w:qFormat/>
    <w:uiPriority w:val="0"/>
    <w:pPr>
      <w:spacing w:before="240" w:after="60" w:line="312" w:lineRule="auto"/>
      <w:jc w:val="center"/>
      <w:outlineLvl w:val="1"/>
    </w:pPr>
    <w:rPr>
      <w:rFonts w:ascii="Cambria" w:hAnsi="Cambria"/>
      <w:b/>
      <w:bCs/>
      <w:kern w:val="28"/>
      <w:sz w:val="32"/>
      <w:szCs w:val="32"/>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character" w:customStyle="1" w:styleId="10">
    <w:name w:val="副标题 字符"/>
    <w:link w:val="5"/>
    <w:qFormat/>
    <w:uiPriority w:val="0"/>
    <w:rPr>
      <w:rFonts w:ascii="Cambria" w:hAnsi="Cambria"/>
      <w:b/>
      <w:bCs/>
      <w:kern w:val="28"/>
      <w:sz w:val="32"/>
      <w:szCs w:val="32"/>
    </w:rPr>
  </w:style>
  <w:style w:type="paragraph" w:styleId="11">
    <w:name w:val="List Paragraph"/>
    <w:basedOn w:val="1"/>
    <w:qFormat/>
    <w:uiPriority w:val="34"/>
    <w:pPr>
      <w:ind w:firstLine="420" w:firstLineChars="200"/>
    </w:pPr>
    <w:rPr>
      <w:sz w:val="28"/>
      <w:szCs w:val="24"/>
    </w:rPr>
  </w:style>
  <w:style w:type="character" w:customStyle="1" w:styleId="12">
    <w:name w:val="font11"/>
    <w:basedOn w:val="9"/>
    <w:autoRedefine/>
    <w:qFormat/>
    <w:uiPriority w:val="0"/>
    <w:rPr>
      <w:rFonts w:hint="eastAsia" w:ascii="微软雅黑" w:hAnsi="微软雅黑" w:eastAsia="微软雅黑" w:cs="微软雅黑"/>
      <w:color w:val="000000"/>
      <w:sz w:val="22"/>
      <w:szCs w:val="22"/>
      <w:u w:val="none"/>
    </w:rPr>
  </w:style>
  <w:style w:type="character" w:customStyle="1" w:styleId="13">
    <w:name w:val="font01"/>
    <w:basedOn w:val="9"/>
    <w:autoRedefine/>
    <w:qFormat/>
    <w:uiPriority w:val="0"/>
    <w:rPr>
      <w:rFonts w:ascii="楷体" w:hAnsi="楷体" w:eastAsia="楷体" w:cs="楷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6456</Words>
  <Characters>6750</Characters>
  <Lines>49</Lines>
  <Paragraphs>14</Paragraphs>
  <TotalTime>19</TotalTime>
  <ScaleCrop>false</ScaleCrop>
  <LinksUpToDate>false</LinksUpToDate>
  <CharactersWithSpaces>6797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2024-07-02T09:11:00Z</dcterms:created>
  <dc:creator>Administrator</dc:creator>
  <cp:lastModifiedBy>Administrator</cp:lastModifiedBy>
  <dcterms:modified xsi:type="dcterms:W3CDTF">2024-07-09T00:04:50Z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221559BB4F45434B93E22382B3F5D09E_12</vt:lpwstr>
  </property>
</Properties>
</file>