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30"/>
        </w:tabs>
        <w:rPr>
          <w:rFonts w:ascii="宋体" w:hAnsi="宋体"/>
          <w:b/>
          <w:sz w:val="44"/>
          <w:szCs w:val="44"/>
        </w:rPr>
      </w:pPr>
      <w:bookmarkStart w:id="0" w:name="_Toc266776854"/>
      <w:bookmarkStart w:id="1" w:name="_Toc257983077"/>
      <w:bookmarkStart w:id="2" w:name="_Toc266431114"/>
    </w:p>
    <w:p>
      <w:pPr>
        <w:rPr>
          <w:rFonts w:ascii="宋体" w:hAnsi="宋体"/>
          <w:b/>
          <w:sz w:val="44"/>
          <w:szCs w:val="44"/>
        </w:rPr>
      </w:pPr>
    </w:p>
    <w:p>
      <w:pPr>
        <w:jc w:val="center"/>
        <w:rPr>
          <w:rFonts w:ascii="宋体" w:cs="宋体"/>
          <w:b/>
          <w:sz w:val="96"/>
          <w:szCs w:val="96"/>
        </w:rPr>
      </w:pPr>
      <w:r>
        <w:rPr>
          <w:rFonts w:hint="eastAsia" w:ascii="宋体" w:hAnsi="宋体" w:cs="宋体"/>
          <w:b/>
          <w:sz w:val="96"/>
          <w:szCs w:val="96"/>
        </w:rPr>
        <w:t>竞争性谈判文件</w:t>
      </w:r>
    </w:p>
    <w:p>
      <w:pPr>
        <w:rPr>
          <w:rFonts w:ascii="宋体" w:cs="宋体"/>
          <w:sz w:val="36"/>
        </w:rPr>
      </w:pPr>
    </w:p>
    <w:p>
      <w:pPr>
        <w:spacing w:line="480" w:lineRule="auto"/>
        <w:ind w:firstLine="948" w:firstLineChars="295"/>
        <w:rPr>
          <w:rFonts w:ascii="宋体" w:cs="宋体"/>
          <w:b/>
          <w:sz w:val="32"/>
        </w:rPr>
      </w:pPr>
    </w:p>
    <w:p>
      <w:pPr>
        <w:spacing w:line="480" w:lineRule="auto"/>
        <w:rPr>
          <w:rFonts w:ascii="宋体" w:cs="宋体"/>
          <w:b/>
          <w:sz w:val="32"/>
        </w:rPr>
      </w:pPr>
    </w:p>
    <w:p>
      <w:pPr>
        <w:spacing w:line="480" w:lineRule="auto"/>
        <w:rPr>
          <w:rFonts w:ascii="宋体" w:cs="宋体"/>
          <w:b/>
          <w:sz w:val="32"/>
        </w:rPr>
      </w:pPr>
    </w:p>
    <w:p>
      <w:pPr>
        <w:spacing w:line="480" w:lineRule="auto"/>
        <w:rPr>
          <w:rFonts w:ascii="宋体" w:cs="宋体"/>
          <w:b/>
          <w:sz w:val="32"/>
        </w:rPr>
      </w:pPr>
    </w:p>
    <w:p>
      <w:pPr>
        <w:spacing w:line="480" w:lineRule="auto"/>
        <w:ind w:left="3483" w:leftChars="798" w:hanging="1807" w:hangingChars="500"/>
        <w:rPr>
          <w:rFonts w:ascii="宋体" w:hAnsi="宋体" w:cs="宋体"/>
          <w:sz w:val="24"/>
        </w:rPr>
      </w:pPr>
      <w:r>
        <w:rPr>
          <w:rFonts w:hint="eastAsia" w:ascii="宋体" w:hAnsi="宋体"/>
          <w:b/>
          <w:bCs/>
          <w:sz w:val="36"/>
          <w:szCs w:val="36"/>
        </w:rPr>
        <w:t>项目名称：黄石市中心医院耳鼻喉科排队叫号系统采购</w:t>
      </w:r>
    </w:p>
    <w:p>
      <w:pPr>
        <w:spacing w:line="480" w:lineRule="auto"/>
        <w:ind w:left="3483" w:leftChars="798" w:hanging="1807" w:hangingChars="500"/>
        <w:rPr>
          <w:rFonts w:ascii="宋体"/>
          <w:b/>
          <w:bCs/>
          <w:sz w:val="36"/>
          <w:szCs w:val="36"/>
        </w:rPr>
      </w:pPr>
      <w:r>
        <w:rPr>
          <w:rFonts w:hint="eastAsia" w:ascii="宋体" w:hAnsi="宋体"/>
          <w:b/>
          <w:bCs/>
          <w:sz w:val="36"/>
          <w:szCs w:val="36"/>
        </w:rPr>
        <w:t>采购单位：黄石市中心医院</w:t>
      </w:r>
    </w:p>
    <w:p>
      <w:pPr>
        <w:pStyle w:val="4"/>
        <w:spacing w:line="480" w:lineRule="auto"/>
        <w:ind w:left="0" w:leftChars="0"/>
        <w:jc w:val="center"/>
        <w:rPr>
          <w:rFonts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jc w:val="center"/>
        <w:rPr>
          <w:rFonts w:ascii="宋体"/>
          <w:b/>
          <w:sz w:val="32"/>
          <w:szCs w:val="32"/>
        </w:rPr>
      </w:pPr>
      <w:r>
        <w:rPr>
          <w:rFonts w:hint="eastAsia" w:ascii="宋体" w:hAnsi="宋体"/>
          <w:b/>
          <w:bCs/>
          <w:sz w:val="36"/>
          <w:szCs w:val="36"/>
        </w:rPr>
        <w:t>二〇二四年六月</w:t>
      </w:r>
    </w:p>
    <w:p/>
    <w:p/>
    <w:p>
      <w:pPr>
        <w:spacing w:line="264" w:lineRule="auto"/>
        <w:rPr>
          <w:rFonts w:ascii="宋体" w:hAnsi="宋体" w:cs="宋体"/>
          <w:b/>
          <w:sz w:val="32"/>
          <w:szCs w:val="32"/>
        </w:rPr>
      </w:pPr>
    </w:p>
    <w:p>
      <w:pPr>
        <w:spacing w:line="264" w:lineRule="auto"/>
        <w:rPr>
          <w:rFonts w:ascii="宋体" w:hAnsi="宋体" w:cs="宋体"/>
          <w:b/>
          <w:sz w:val="32"/>
          <w:szCs w:val="32"/>
        </w:rPr>
      </w:pPr>
    </w:p>
    <w:p>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pPr>
        <w:spacing w:line="420" w:lineRule="exact"/>
        <w:ind w:firstLine="480" w:firstLineChars="200"/>
        <w:rPr>
          <w:rFonts w:ascii="宋体" w:cs="宋体"/>
          <w:sz w:val="24"/>
          <w:lang w:val="zh-CN"/>
        </w:rPr>
      </w:pPr>
      <w:r>
        <w:rPr>
          <w:rFonts w:hint="eastAsia" w:ascii="宋体" w:hAnsi="宋体" w:cs="宋体"/>
          <w:sz w:val="24"/>
          <w:lang w:val="zh-CN"/>
        </w:rPr>
        <w:t>根据黄石市中心医院的需求，就</w:t>
      </w:r>
      <w:r>
        <w:rPr>
          <w:rFonts w:hint="eastAsia" w:ascii="宋体" w:hAnsi="宋体" w:cs="宋体"/>
          <w:sz w:val="24"/>
        </w:rPr>
        <w:t>黄石市中心医院耳鼻喉科排队叫号系统采购</w:t>
      </w:r>
      <w:r>
        <w:rPr>
          <w:rFonts w:hint="eastAsia" w:ascii="宋体" w:hAnsi="宋体" w:cs="宋体"/>
          <w:sz w:val="24"/>
          <w:lang w:val="zh-CN"/>
        </w:rPr>
        <w:t>以</w:t>
      </w:r>
      <w:r>
        <w:rPr>
          <w:rFonts w:hint="eastAsia" w:ascii="宋体" w:hAnsi="宋体" w:cs="宋体"/>
          <w:color w:val="000000"/>
          <w:sz w:val="24"/>
          <w:lang w:val="zh-CN"/>
        </w:rPr>
        <w:t>竞争性谈判</w:t>
      </w:r>
      <w:r>
        <w:rPr>
          <w:rFonts w:hint="eastAsia" w:ascii="宋体" w:hAnsi="宋体" w:cs="宋体"/>
          <w:sz w:val="24"/>
          <w:lang w:val="zh-CN"/>
        </w:rPr>
        <w:t>方式进行采购</w:t>
      </w:r>
      <w:r>
        <w:rPr>
          <w:rFonts w:hint="eastAsia" w:ascii="宋体" w:hAnsi="宋体" w:cs="宋体"/>
          <w:sz w:val="24"/>
        </w:rPr>
        <w:t>，欢迎符合资格条件的供应商参与本项目的谈判。</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ascii="宋体" w:hAnsi="宋体" w:cs="宋体"/>
          <w:sz w:val="24"/>
        </w:rPr>
      </w:pPr>
      <w:r>
        <w:rPr>
          <w:rFonts w:hint="eastAsia" w:ascii="宋体" w:hAnsi="宋体" w:cs="宋体"/>
          <w:sz w:val="24"/>
        </w:rPr>
        <w:t>1.项目名称：黄石市中心医院耳鼻喉科排队叫号系统采购</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hint="eastAsia" w:ascii="宋体" w:hAnsi="宋体" w:cs="宋体"/>
          <w:color w:val="000000"/>
          <w:sz w:val="24"/>
        </w:rPr>
        <w:t>3.预算金额：</w:t>
      </w:r>
      <w:r>
        <w:rPr>
          <w:rFonts w:hint="eastAsia" w:ascii="宋体" w:hAnsi="宋体" w:cs="宋体"/>
          <w:color w:val="FF0000"/>
          <w:sz w:val="24"/>
        </w:rPr>
        <w:t>6.5万元</w:t>
      </w:r>
      <w:r>
        <w:rPr>
          <w:rFonts w:hint="eastAsia" w:ascii="宋体" w:hAnsi="宋体" w:cs="宋体"/>
          <w:sz w:val="24"/>
        </w:rPr>
        <w:t xml:space="preserve"> </w:t>
      </w:r>
    </w:p>
    <w:p>
      <w:pPr>
        <w:spacing w:line="420" w:lineRule="exact"/>
        <w:ind w:firstLine="480" w:firstLineChars="200"/>
        <w:rPr>
          <w:rFonts w:ascii="宋体" w:hAnsi="宋体" w:cs="宋体"/>
          <w:color w:val="FF0000"/>
          <w:sz w:val="24"/>
        </w:rPr>
      </w:pPr>
      <w:r>
        <w:rPr>
          <w:rFonts w:hint="eastAsia" w:ascii="宋体" w:hAnsi="宋体" w:cs="宋体"/>
          <w:sz w:val="24"/>
        </w:rPr>
        <w:t>4.采购数量：</w:t>
      </w:r>
      <w:r>
        <w:rPr>
          <w:rFonts w:hint="eastAsia" w:ascii="宋体" w:hAnsi="宋体" w:cs="宋体"/>
          <w:color w:val="FF0000"/>
          <w:sz w:val="24"/>
        </w:rPr>
        <w:t>1套</w:t>
      </w:r>
    </w:p>
    <w:p>
      <w:pPr>
        <w:spacing w:line="420" w:lineRule="exact"/>
        <w:ind w:firstLine="480" w:firstLineChars="200"/>
        <w:rPr>
          <w:rFonts w:ascii="宋体" w:hAnsi="宋体" w:cs="宋体"/>
          <w:sz w:val="24"/>
        </w:rPr>
      </w:pPr>
      <w:r>
        <w:rPr>
          <w:rFonts w:hint="eastAsia" w:ascii="宋体" w:hAnsi="宋体" w:cs="宋体"/>
          <w:sz w:val="24"/>
        </w:rPr>
        <w:t>5.送货期：合同签订三天内</w:t>
      </w:r>
    </w:p>
    <w:p>
      <w:pPr>
        <w:spacing w:line="420" w:lineRule="exact"/>
        <w:ind w:firstLine="480" w:firstLineChars="200"/>
        <w:rPr>
          <w:rFonts w:ascii="宋体" w:hAnsi="宋体" w:cs="宋体"/>
          <w:sz w:val="24"/>
        </w:rPr>
      </w:pPr>
      <w:r>
        <w:rPr>
          <w:rFonts w:hint="eastAsia" w:ascii="宋体" w:hAnsi="宋体" w:cs="宋体"/>
          <w:sz w:val="24"/>
        </w:rPr>
        <w:t>6.交货地点：黄石市中心医院指定地点</w:t>
      </w:r>
    </w:p>
    <w:p>
      <w:pPr>
        <w:spacing w:line="420" w:lineRule="exact"/>
        <w:ind w:firstLine="480" w:firstLineChars="200"/>
        <w:rPr>
          <w:rFonts w:ascii="宋体" w:hAnsi="宋体" w:cs="宋体"/>
          <w:sz w:val="24"/>
        </w:rPr>
      </w:pPr>
      <w:r>
        <w:rPr>
          <w:rFonts w:hint="eastAsia" w:ascii="宋体" w:hAnsi="宋体" w:cs="宋体"/>
          <w:sz w:val="24"/>
        </w:rPr>
        <w:t>7.交货方式：免费上门安装调试至设备正常使用，验收合格</w:t>
      </w:r>
    </w:p>
    <w:p>
      <w:pPr>
        <w:spacing w:line="420" w:lineRule="exact"/>
        <w:ind w:firstLine="480" w:firstLineChars="200"/>
        <w:rPr>
          <w:rFonts w:ascii="宋体" w:hAnsi="宋体" w:cs="宋体"/>
          <w:sz w:val="24"/>
        </w:rPr>
      </w:pPr>
      <w:r>
        <w:rPr>
          <w:rFonts w:hint="eastAsia" w:ascii="宋体" w:hAnsi="宋体" w:cs="宋体"/>
          <w:sz w:val="24"/>
        </w:rPr>
        <w:t>8.质保期：技术规范及要求中标明质保期的以其为准，未标明的均为验收合格后不少于一年</w:t>
      </w:r>
    </w:p>
    <w:p>
      <w:pPr>
        <w:spacing w:line="420" w:lineRule="exact"/>
        <w:ind w:firstLine="480" w:firstLineChars="200"/>
        <w:rPr>
          <w:rFonts w:ascii="宋体" w:hAnsi="宋体" w:cs="宋体"/>
          <w:sz w:val="24"/>
        </w:rPr>
      </w:pPr>
      <w:r>
        <w:rPr>
          <w:rFonts w:hint="eastAsia" w:ascii="宋体" w:hAnsi="宋体" w:cs="宋体"/>
          <w:sz w:val="24"/>
        </w:rPr>
        <w:t>9.质量要求：符合国家管理、质检部门合格标准</w:t>
      </w:r>
    </w:p>
    <w:p>
      <w:pPr>
        <w:spacing w:line="420" w:lineRule="exact"/>
        <w:rPr>
          <w:rFonts w:ascii="宋体" w:cs="宋体"/>
          <w:b/>
          <w:bCs/>
          <w:color w:val="000000"/>
          <w:sz w:val="24"/>
        </w:rPr>
      </w:pPr>
      <w:r>
        <w:rPr>
          <w:rFonts w:hint="eastAsia" w:ascii="宋体" w:hAnsi="宋体" w:cs="宋体"/>
          <w:b/>
          <w:bCs/>
          <w:color w:val="000000"/>
          <w:sz w:val="24"/>
        </w:rPr>
        <w:t>二、供应商资格要求：</w:t>
      </w:r>
    </w:p>
    <w:p>
      <w:pPr>
        <w:spacing w:line="360" w:lineRule="auto"/>
        <w:ind w:firstLine="240" w:firstLineChars="100"/>
        <w:rPr>
          <w:rFonts w:ascii="宋体" w:hAnsi="宋体" w:cs="宋体"/>
          <w:sz w:val="24"/>
        </w:rPr>
      </w:pPr>
      <w:r>
        <w:rPr>
          <w:rFonts w:hint="eastAsia" w:ascii="宋体" w:hAnsi="宋体" w:cs="宋体"/>
          <w:sz w:val="24"/>
        </w:rPr>
        <w:t>1、投标人</w:t>
      </w:r>
      <w:r>
        <w:rPr>
          <w:rFonts w:ascii="宋体" w:hAnsi="宋体" w:cs="宋体"/>
          <w:sz w:val="24"/>
        </w:rPr>
        <w:t xml:space="preserve">须是在中华人民共和国境内注册的独立法人，取得营业执照（三证合一），且所投服务在其经营范围内。 </w:t>
      </w:r>
    </w:p>
    <w:p>
      <w:pPr>
        <w:spacing w:line="360" w:lineRule="auto"/>
        <w:ind w:firstLine="240" w:firstLineChars="100"/>
        <w:rPr>
          <w:rFonts w:ascii="宋体" w:hAnsi="宋体" w:cs="宋体"/>
          <w:sz w:val="24"/>
        </w:rPr>
      </w:pPr>
      <w:r>
        <w:rPr>
          <w:rFonts w:hint="eastAsia" w:ascii="宋体" w:hAnsi="宋体" w:cs="宋体"/>
          <w:sz w:val="24"/>
        </w:rPr>
        <w:t>2、投标人须提供法定代表人授权委托书</w:t>
      </w:r>
    </w:p>
    <w:p>
      <w:pPr>
        <w:spacing w:line="360" w:lineRule="auto"/>
        <w:ind w:firstLine="240" w:firstLineChars="100"/>
        <w:rPr>
          <w:rFonts w:ascii="宋体" w:hAnsi="宋体" w:cs="宋体"/>
          <w:sz w:val="24"/>
        </w:rPr>
      </w:pPr>
      <w:r>
        <w:rPr>
          <w:rFonts w:hint="eastAsia" w:ascii="宋体" w:hAnsi="宋体" w:cs="宋体"/>
          <w:sz w:val="24"/>
        </w:rPr>
        <w:t>3、项目原厂授权书</w:t>
      </w:r>
    </w:p>
    <w:p>
      <w:pPr>
        <w:spacing w:line="360" w:lineRule="auto"/>
        <w:ind w:firstLine="240" w:firstLineChars="100"/>
        <w:rPr>
          <w:rFonts w:ascii="宋体" w:hAnsi="宋体" w:cs="宋体"/>
          <w:sz w:val="24"/>
        </w:rPr>
      </w:pPr>
      <w:r>
        <w:rPr>
          <w:rFonts w:hint="eastAsia" w:ascii="宋体" w:hAnsi="宋体" w:cs="宋体"/>
          <w:sz w:val="24"/>
        </w:rPr>
        <w:t>4、售后服务承诺书</w:t>
      </w:r>
    </w:p>
    <w:p>
      <w:pPr>
        <w:spacing w:line="360" w:lineRule="auto"/>
        <w:ind w:firstLine="240" w:firstLineChars="100"/>
        <w:rPr>
          <w:rFonts w:ascii="宋体" w:hAnsi="宋体" w:cs="宋体"/>
          <w:sz w:val="24"/>
        </w:rPr>
      </w:pPr>
      <w:r>
        <w:rPr>
          <w:rFonts w:hint="eastAsia" w:ascii="宋体" w:hAnsi="宋体" w:cs="宋体"/>
          <w:sz w:val="24"/>
        </w:rPr>
        <w:t>5、具有良好的商业信誉和健全的</w:t>
      </w:r>
      <w:r>
        <w:rPr>
          <w:rFonts w:hint="eastAsia"/>
        </w:rPr>
        <w:fldChar w:fldCharType="begin"/>
      </w:r>
      <w:r>
        <w:instrText xml:space="preserve"> HYPERLINK "http://baike.baidu.com/item/%E8%B4%A2%E5%8A%A1%E4%BC%9A%E8%AE%A1%E5%88%B6%E5%BA%A6" \t "_blank" </w:instrText>
      </w:r>
      <w:r>
        <w:rPr>
          <w:rFonts w:hint="eastAsia"/>
        </w:rPr>
        <w:fldChar w:fldCharType="separate"/>
      </w:r>
      <w:r>
        <w:rPr>
          <w:rFonts w:hint="eastAsia" w:ascii="宋体" w:hAnsi="宋体" w:cs="宋体"/>
          <w:sz w:val="24"/>
        </w:rPr>
        <w:t>财务会计制度</w:t>
      </w:r>
      <w:r>
        <w:rPr>
          <w:rFonts w:hint="eastAsia" w:ascii="宋体" w:hAnsi="宋体" w:cs="宋体"/>
          <w:sz w:val="24"/>
        </w:rPr>
        <w:fldChar w:fldCharType="end"/>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6、具有履行合同所必需的设备和专业技术能力，提供正常的售后服务及备品和备件服务；</w:t>
      </w:r>
    </w:p>
    <w:p>
      <w:pPr>
        <w:spacing w:line="360" w:lineRule="auto"/>
        <w:ind w:firstLine="240" w:firstLineChars="100"/>
        <w:rPr>
          <w:rFonts w:ascii="宋体" w:hAnsi="宋体" w:cs="宋体"/>
          <w:sz w:val="24"/>
        </w:rPr>
      </w:pPr>
      <w:r>
        <w:rPr>
          <w:rFonts w:hint="eastAsia" w:ascii="宋体" w:hAnsi="宋体" w:cs="宋体"/>
          <w:sz w:val="24"/>
        </w:rPr>
        <w:t>7、投标人</w:t>
      </w:r>
      <w:r>
        <w:rPr>
          <w:rFonts w:ascii="宋体" w:hAnsi="宋体" w:cs="宋体"/>
          <w:sz w:val="24"/>
        </w:rPr>
        <w:t>应在近三年内</w:t>
      </w:r>
      <w:r>
        <w:rPr>
          <w:rFonts w:hint="eastAsia" w:ascii="宋体" w:hAnsi="宋体" w:cs="宋体"/>
          <w:sz w:val="24"/>
        </w:rPr>
        <w:t>（不足三年按公司成立时起）</w:t>
      </w:r>
      <w:r>
        <w:rPr>
          <w:rFonts w:ascii="宋体" w:hAnsi="宋体" w:cs="宋体"/>
          <w:sz w:val="24"/>
        </w:rPr>
        <w:t>经营活动中无重大违法记录，提供声明函</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8、本项目不接受联合体投标。</w:t>
      </w:r>
    </w:p>
    <w:p>
      <w:pPr>
        <w:spacing w:line="420" w:lineRule="exact"/>
        <w:rPr>
          <w:rFonts w:ascii="宋体" w:cs="宋体"/>
          <w:b/>
          <w:bCs/>
          <w:sz w:val="24"/>
        </w:rPr>
      </w:pPr>
      <w:r>
        <w:rPr>
          <w:rFonts w:hint="eastAsia" w:ascii="宋体" w:hAnsi="宋体" w:cs="宋体"/>
          <w:b/>
          <w:bCs/>
          <w:sz w:val="24"/>
        </w:rPr>
        <w:t>三、报名及谈判文件获取方式：</w:t>
      </w:r>
    </w:p>
    <w:p>
      <w:pPr>
        <w:snapToGrid w:val="0"/>
        <w:spacing w:line="420" w:lineRule="exact"/>
        <w:ind w:firstLine="504" w:firstLineChars="210"/>
        <w:rPr>
          <w:rFonts w:ascii="宋体" w:hAnsi="宋体" w:cs="宋体"/>
          <w:sz w:val="24"/>
        </w:rPr>
      </w:pPr>
      <w:r>
        <w:rPr>
          <w:rFonts w:hint="eastAsia" w:ascii="宋体" w:hAnsi="宋体" w:cs="宋体"/>
          <w:sz w:val="24"/>
        </w:rPr>
        <w:t xml:space="preserve">1．报名地点：黄石市中心医院行政楼804办公室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pPr>
        <w:spacing w:line="420" w:lineRule="exact"/>
        <w:ind w:firstLine="480" w:firstLineChars="200"/>
        <w:rPr>
          <w:rFonts w:ascii="宋体" w:hAnsi="宋体" w:cs="宋体"/>
          <w:sz w:val="24"/>
        </w:rPr>
      </w:pPr>
      <w:r>
        <w:rPr>
          <w:rFonts w:hint="eastAsia" w:ascii="宋体" w:hAnsi="宋体" w:cs="宋体"/>
          <w:sz w:val="24"/>
        </w:rPr>
        <w:t>3. 本项目竞争性谈判文件于黄石官网上发布。</w:t>
      </w:r>
      <w:bookmarkEnd w:id="0"/>
      <w:bookmarkEnd w:id="1"/>
      <w:bookmarkEnd w:id="2"/>
      <w:bookmarkStart w:id="3" w:name="_Toc355985892"/>
      <w:bookmarkStart w:id="4" w:name="_Toc325731496"/>
    </w:p>
    <w:p>
      <w:pPr>
        <w:spacing w:line="420" w:lineRule="exact"/>
        <w:ind w:firstLine="480" w:firstLineChars="200"/>
        <w:rPr>
          <w:rFonts w:ascii="宋体" w:hAnsi="宋体" w:cs="宋体"/>
          <w:sz w:val="24"/>
        </w:rPr>
      </w:pPr>
      <w:r>
        <w:rPr>
          <w:rFonts w:hint="eastAsia" w:ascii="宋体" w:hAnsi="宋体" w:cs="宋体"/>
          <w:sz w:val="24"/>
        </w:rPr>
        <w:t>4、报名时间：2024年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日-2020年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w:t>
      </w:r>
    </w:p>
    <w:p>
      <w:pPr>
        <w:spacing w:line="420" w:lineRule="exact"/>
        <w:ind w:firstLine="480" w:firstLineChars="200"/>
        <w:rPr>
          <w:rFonts w:ascii="宋体" w:hAnsi="宋体" w:cs="宋体"/>
          <w:sz w:val="24"/>
        </w:rPr>
      </w:pPr>
      <w:bookmarkStart w:id="13" w:name="_GoBack"/>
      <w:bookmarkEnd w:id="13"/>
    </w:p>
    <w:p>
      <w:pPr>
        <w:spacing w:line="420" w:lineRule="exact"/>
        <w:ind w:firstLine="480" w:firstLineChars="200"/>
        <w:rPr>
          <w:rFonts w:ascii="宋体" w:hAnsi="宋体" w:cs="宋体"/>
          <w:sz w:val="24"/>
        </w:rPr>
      </w:pPr>
    </w:p>
    <w:p>
      <w:pPr>
        <w:spacing w:line="460" w:lineRule="exact"/>
        <w:jc w:val="center"/>
        <w:rPr>
          <w:b/>
        </w:rPr>
      </w:pPr>
      <w:r>
        <w:rPr>
          <w:rFonts w:hint="eastAsia" w:ascii="宋体" w:hAnsi="宋体"/>
          <w:b/>
          <w:sz w:val="32"/>
        </w:rPr>
        <w:t>第二章 竞争性谈判须知</w:t>
      </w:r>
    </w:p>
    <w:p>
      <w:pPr>
        <w:pStyle w:val="3"/>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pPr>
        <w:pStyle w:val="3"/>
        <w:adjustRightInd w:val="0"/>
        <w:snapToGrid w:val="0"/>
        <w:spacing w:line="500" w:lineRule="exact"/>
        <w:ind w:firstLine="472" w:firstLineChars="196"/>
        <w:rPr>
          <w:rFonts w:hAnsi="宋体"/>
          <w:b/>
          <w:sz w:val="24"/>
          <w:szCs w:val="24"/>
        </w:rPr>
      </w:pPr>
      <w:r>
        <w:rPr>
          <w:rFonts w:hint="eastAsia" w:hAnsi="宋体"/>
          <w:b/>
          <w:sz w:val="24"/>
          <w:szCs w:val="24"/>
        </w:rPr>
        <w:t>1．适用范围</w:t>
      </w:r>
    </w:p>
    <w:p>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pPr>
        <w:spacing w:line="500" w:lineRule="exact"/>
        <w:ind w:firstLine="470" w:firstLineChars="196"/>
        <w:rPr>
          <w:rFonts w:ascii="宋体" w:hAnsi="宋体"/>
          <w:sz w:val="24"/>
        </w:rPr>
      </w:pPr>
      <w:r>
        <w:rPr>
          <w:rFonts w:hint="eastAsia" w:ascii="宋体" w:hAnsi="宋体"/>
          <w:sz w:val="24"/>
        </w:rPr>
        <w:t>1.2本竞争性谈判文件的解释权归采购单位。</w:t>
      </w:r>
    </w:p>
    <w:p>
      <w:pPr>
        <w:pStyle w:val="3"/>
        <w:adjustRightInd w:val="0"/>
        <w:snapToGrid w:val="0"/>
        <w:spacing w:line="500" w:lineRule="exact"/>
        <w:ind w:firstLine="472" w:firstLineChars="196"/>
        <w:rPr>
          <w:rFonts w:hAnsi="宋体"/>
          <w:b/>
          <w:sz w:val="24"/>
          <w:szCs w:val="24"/>
        </w:rPr>
      </w:pPr>
      <w:r>
        <w:rPr>
          <w:rFonts w:hint="eastAsia" w:hAnsi="宋体"/>
          <w:b/>
          <w:sz w:val="24"/>
          <w:szCs w:val="24"/>
        </w:rPr>
        <w:t>2.定义</w:t>
      </w:r>
    </w:p>
    <w:p>
      <w:pPr>
        <w:pStyle w:val="3"/>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pPr>
        <w:pStyle w:val="3"/>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pPr>
        <w:pStyle w:val="3"/>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pPr>
        <w:pStyle w:val="3"/>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pPr>
        <w:pStyle w:val="3"/>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pPr>
        <w:pStyle w:val="3"/>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pPr>
        <w:pStyle w:val="3"/>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pPr>
        <w:pStyle w:val="3"/>
        <w:adjustRightInd w:val="0"/>
        <w:snapToGrid w:val="0"/>
        <w:spacing w:line="500" w:lineRule="exact"/>
        <w:ind w:firstLine="472" w:firstLineChars="196"/>
        <w:rPr>
          <w:rFonts w:hAnsi="宋体"/>
          <w:b/>
          <w:sz w:val="24"/>
          <w:szCs w:val="24"/>
        </w:rPr>
      </w:pPr>
      <w:r>
        <w:rPr>
          <w:rFonts w:hint="eastAsia" w:hAnsi="宋体"/>
          <w:b/>
          <w:sz w:val="24"/>
          <w:szCs w:val="24"/>
        </w:rPr>
        <w:t>4. 谈判报价</w:t>
      </w:r>
    </w:p>
    <w:p>
      <w:pPr>
        <w:spacing w:line="500" w:lineRule="exact"/>
        <w:ind w:firstLine="470" w:firstLineChars="196"/>
        <w:rPr>
          <w:rFonts w:ascii="宋体" w:hAnsi="宋体"/>
          <w:sz w:val="24"/>
        </w:rPr>
      </w:pPr>
      <w:r>
        <w:rPr>
          <w:rFonts w:hint="eastAsia" w:ascii="宋体" w:hAnsi="宋体"/>
          <w:sz w:val="24"/>
        </w:rPr>
        <w:t>4.1本项目采用人民币报价。</w:t>
      </w:r>
    </w:p>
    <w:p>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pPr>
        <w:spacing w:line="500" w:lineRule="exact"/>
        <w:ind w:firstLine="470" w:firstLineChars="196"/>
        <w:rPr>
          <w:rFonts w:ascii="宋体" w:hAnsi="宋体"/>
          <w:sz w:val="24"/>
        </w:rPr>
      </w:pPr>
      <w:r>
        <w:rPr>
          <w:rFonts w:hint="eastAsia" w:ascii="宋体" w:hAnsi="宋体"/>
          <w:sz w:val="24"/>
        </w:rPr>
        <w:t>4.5采购人确认的最高限价为：</w:t>
      </w:r>
      <w:r>
        <w:rPr>
          <w:rFonts w:hint="eastAsia" w:hAnsi="宋体" w:cs="宋体"/>
          <w:bCs/>
          <w:color w:val="FF0000"/>
          <w:sz w:val="24"/>
        </w:rPr>
        <w:t>最高采购限价6.5万元整</w:t>
      </w:r>
      <w:r>
        <w:rPr>
          <w:rFonts w:hint="eastAsia" w:hAnsi="宋体" w:cs="宋体"/>
          <w:bCs/>
          <w:sz w:val="24"/>
        </w:rPr>
        <w:t>，供应商报价不得高于最高限价，否则按无效报价处理。</w:t>
      </w:r>
    </w:p>
    <w:p>
      <w:pPr>
        <w:spacing w:line="500" w:lineRule="exact"/>
        <w:ind w:firstLine="470" w:firstLineChars="196"/>
        <w:rPr>
          <w:rFonts w:ascii="宋体" w:hAnsi="宋体"/>
          <w:sz w:val="24"/>
        </w:rPr>
      </w:pPr>
      <w:r>
        <w:rPr>
          <w:rFonts w:hint="eastAsia" w:ascii="宋体" w:hAnsi="宋体"/>
          <w:sz w:val="24"/>
        </w:rPr>
        <w:t>4.6供应商对报价的准确性负责，任何漏报、错报等情况均由供应商承担后果。</w:t>
      </w:r>
    </w:p>
    <w:p>
      <w:pPr>
        <w:spacing w:line="500" w:lineRule="exact"/>
        <w:ind w:firstLine="470" w:firstLineChars="196"/>
        <w:rPr>
          <w:rFonts w:ascii="宋体" w:hAnsi="宋体"/>
          <w:sz w:val="24"/>
        </w:rPr>
      </w:pPr>
      <w:r>
        <w:rPr>
          <w:rFonts w:hint="eastAsia" w:ascii="宋体" w:hAnsi="宋体"/>
          <w:sz w:val="24"/>
        </w:rPr>
        <w:t>4.7采购人有权对所有谈判供应商的谈判报价进行审查，并要求谈判供应商在规定的时间内提供相关资料，谈判供应商应无条件接受。</w:t>
      </w:r>
    </w:p>
    <w:p>
      <w:pPr>
        <w:spacing w:line="500" w:lineRule="exact"/>
        <w:ind w:firstLine="472" w:firstLineChars="196"/>
        <w:rPr>
          <w:rFonts w:ascii="宋体" w:hAnsi="宋体"/>
          <w:b/>
          <w:sz w:val="24"/>
        </w:rPr>
      </w:pPr>
      <w:r>
        <w:rPr>
          <w:rFonts w:hint="eastAsia" w:ascii="宋体" w:hAnsi="宋体"/>
          <w:b/>
          <w:sz w:val="24"/>
        </w:rPr>
        <w:t>5. 备选方案</w:t>
      </w:r>
    </w:p>
    <w:p>
      <w:pPr>
        <w:pStyle w:val="3"/>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pPr>
        <w:pStyle w:val="3"/>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pPr>
        <w:spacing w:line="360" w:lineRule="auto"/>
        <w:ind w:left="-69" w:leftChars="-33" w:firstLine="480" w:firstLineChars="200"/>
        <w:rPr>
          <w:sz w:val="24"/>
        </w:rPr>
      </w:pPr>
      <w:r>
        <w:rPr>
          <w:rFonts w:hint="eastAsia"/>
          <w:sz w:val="24"/>
        </w:rPr>
        <w:t>无</w:t>
      </w:r>
    </w:p>
    <w:p>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pPr>
        <w:pStyle w:val="3"/>
        <w:spacing w:line="500" w:lineRule="exact"/>
        <w:ind w:firstLine="480" w:firstLineChars="200"/>
        <w:rPr>
          <w:rFonts w:hAnsi="宋体"/>
          <w:bCs/>
          <w:sz w:val="24"/>
          <w:szCs w:val="24"/>
        </w:rPr>
      </w:pPr>
      <w:r>
        <w:rPr>
          <w:rFonts w:hint="eastAsia" w:hAnsi="宋体" w:cs="Times New Roman"/>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pPr>
        <w:pStyle w:val="3"/>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7.2供应商按上述要求进行密封和标记后，将</w:t>
      </w:r>
      <w:r>
        <w:rPr>
          <w:rFonts w:hint="eastAsia" w:hAnsi="宋体"/>
          <w:sz w:val="24"/>
        </w:rPr>
        <w:t>谈判文件</w:t>
      </w:r>
      <w:r>
        <w:rPr>
          <w:rFonts w:hint="eastAsia" w:hAnsi="宋体" w:cs="Times New Roman"/>
          <w:kern w:val="0"/>
          <w:sz w:val="24"/>
          <w:szCs w:val="24"/>
        </w:rPr>
        <w:t>送达指定地点。</w:t>
      </w:r>
    </w:p>
    <w:p>
      <w:pPr>
        <w:pStyle w:val="3"/>
        <w:adjustRightInd w:val="0"/>
        <w:snapToGrid w:val="0"/>
        <w:spacing w:line="500" w:lineRule="exact"/>
        <w:ind w:firstLine="470" w:firstLineChars="196"/>
        <w:rPr>
          <w:rFonts w:hAnsi="宋体" w:cs="Times New Roman"/>
          <w:kern w:val="0"/>
          <w:sz w:val="24"/>
          <w:szCs w:val="24"/>
        </w:rPr>
      </w:pPr>
      <w:r>
        <w:rPr>
          <w:rFonts w:hint="eastAsia" w:hAnsi="宋体" w:cs="Times New Roman"/>
          <w:kern w:val="0"/>
          <w:sz w:val="24"/>
          <w:szCs w:val="24"/>
        </w:rPr>
        <w:t>7.3如果未按上述规定进行密封和标记，评委不予评审。</w:t>
      </w:r>
    </w:p>
    <w:p>
      <w:pPr>
        <w:pStyle w:val="3"/>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pPr>
        <w:pStyle w:val="3"/>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cs="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cs="Times New Roman"/>
          <w:kern w:val="0"/>
          <w:sz w:val="24"/>
          <w:szCs w:val="24"/>
        </w:rPr>
        <w:t>情节严重的列入不良行为记录名单。</w:t>
      </w:r>
    </w:p>
    <w:p>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pPr>
        <w:autoSpaceDE w:val="0"/>
        <w:autoSpaceDN w:val="0"/>
        <w:adjustRightInd w:val="0"/>
        <w:snapToGrid w:val="0"/>
        <w:spacing w:line="500" w:lineRule="exact"/>
        <w:ind w:right="32"/>
        <w:rPr>
          <w:rFonts w:ascii="宋体" w:hAnsi="宋体"/>
          <w:b/>
          <w:kern w:val="0"/>
          <w:sz w:val="28"/>
        </w:rPr>
      </w:pPr>
    </w:p>
    <w:p>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pPr>
        <w:spacing w:line="360" w:lineRule="auto"/>
        <w:ind w:firstLine="488" w:firstLineChars="196"/>
        <w:rPr>
          <w:rFonts w:ascii="宋体" w:hAnsi="宋体"/>
          <w:spacing w:val="4"/>
          <w:sz w:val="24"/>
        </w:rPr>
      </w:pPr>
      <w:r>
        <w:rPr>
          <w:rFonts w:hint="eastAsia" w:ascii="宋体" w:hAnsi="宋体"/>
          <w:b/>
          <w:spacing w:val="4"/>
          <w:sz w:val="24"/>
        </w:rPr>
        <w:t>2.评定程序</w:t>
      </w:r>
    </w:p>
    <w:p>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pPr>
        <w:spacing w:line="360" w:lineRule="auto"/>
        <w:ind w:firstLine="480" w:firstLineChars="200"/>
        <w:rPr>
          <w:rFonts w:ascii="宋体" w:hAnsi="宋体"/>
          <w:sz w:val="24"/>
        </w:rPr>
      </w:pPr>
      <w:r>
        <w:rPr>
          <w:rFonts w:hint="eastAsia" w:ascii="宋体" w:hAnsi="宋体"/>
          <w:sz w:val="24"/>
        </w:rPr>
        <w:t>2.3采购人谈判小组分别与供应商谈判。</w:t>
      </w:r>
    </w:p>
    <w:p>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pPr>
        <w:spacing w:line="360" w:lineRule="auto"/>
        <w:ind w:firstLine="472" w:firstLineChars="196"/>
        <w:rPr>
          <w:rFonts w:ascii="宋体" w:hAnsi="宋体"/>
          <w:b/>
          <w:bCs/>
          <w:sz w:val="24"/>
        </w:rPr>
      </w:pPr>
      <w:r>
        <w:rPr>
          <w:rFonts w:hint="eastAsia" w:ascii="宋体" w:hAnsi="宋体"/>
          <w:b/>
          <w:bCs/>
          <w:sz w:val="24"/>
        </w:rPr>
        <w:t>3.谈判注意事项</w:t>
      </w:r>
    </w:p>
    <w:p>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p>
      <w:pPr>
        <w:adjustRightInd w:val="0"/>
        <w:snapToGrid w:val="0"/>
        <w:spacing w:line="500" w:lineRule="exact"/>
        <w:ind w:firstLine="480" w:firstLineChars="200"/>
        <w:rPr>
          <w:rFonts w:ascii="宋体" w:hAnsi="宋体"/>
          <w:sz w:val="24"/>
        </w:rPr>
      </w:pPr>
      <w:r>
        <w:rPr>
          <w:rFonts w:hint="eastAsia" w:ascii="宋体" w:hAnsi="宋体"/>
          <w:sz w:val="24"/>
        </w:rPr>
        <w:t>4.2</w:t>
      </w:r>
      <w:r>
        <w:rPr>
          <w:rFonts w:hint="eastAsia" w:ascii="宋体" w:hAnsi="宋体" w:cs="宋体"/>
          <w:color w:val="000000"/>
          <w:sz w:val="24"/>
        </w:rPr>
        <w:t>付款方式：原则上院方验收合格后支付合同总款90%，质保期满后支付合同总款10%。具体付款细则采购人与成交人协商确定。</w:t>
      </w: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ind w:firstLine="960" w:firstLineChars="400"/>
        <w:rPr>
          <w:rFonts w:ascii="宋体" w:hAnsi="宋体"/>
          <w:sz w:val="24"/>
        </w:rPr>
      </w:pPr>
    </w:p>
    <w:p>
      <w:pPr>
        <w:adjustRightInd w:val="0"/>
        <w:snapToGrid w:val="0"/>
        <w:spacing w:line="500" w:lineRule="exact"/>
        <w:rPr>
          <w:rFonts w:ascii="宋体" w:hAnsi="宋体"/>
          <w:sz w:val="24"/>
        </w:rPr>
      </w:pPr>
    </w:p>
    <w:p>
      <w:pPr>
        <w:adjustRightInd w:val="0"/>
        <w:snapToGrid w:val="0"/>
        <w:spacing w:line="500" w:lineRule="exact"/>
        <w:rPr>
          <w:rFonts w:ascii="宋体" w:hAnsi="宋体"/>
          <w:sz w:val="24"/>
        </w:rPr>
      </w:pPr>
    </w:p>
    <w:bookmarkEnd w:id="11"/>
    <w:p>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ascii="宋体" w:hAnsi="宋体" w:cs="宋体"/>
          <w:sz w:val="24"/>
        </w:rPr>
      </w:pPr>
      <w:r>
        <w:rPr>
          <w:rFonts w:hint="eastAsia" w:ascii="宋体" w:hAnsi="宋体" w:cs="宋体"/>
          <w:sz w:val="24"/>
        </w:rPr>
        <w:t>1.项目名称：黄石市中心医院耳鼻喉科排队叫号系统采购</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hint="eastAsia" w:ascii="宋体" w:hAnsi="宋体" w:cs="宋体"/>
          <w:color w:val="000000"/>
          <w:sz w:val="24"/>
        </w:rPr>
        <w:t>3.预算金额：</w:t>
      </w:r>
      <w:r>
        <w:rPr>
          <w:rFonts w:hint="eastAsia" w:ascii="宋体" w:hAnsi="宋体" w:cs="宋体"/>
          <w:color w:val="FF0000"/>
          <w:sz w:val="24"/>
        </w:rPr>
        <w:t>6.5万元</w:t>
      </w:r>
      <w:r>
        <w:rPr>
          <w:rFonts w:hint="eastAsia" w:ascii="宋体" w:hAnsi="宋体" w:cs="宋体"/>
          <w:sz w:val="24"/>
        </w:rPr>
        <w:t xml:space="preserve"> </w:t>
      </w:r>
    </w:p>
    <w:p>
      <w:pPr>
        <w:spacing w:line="420" w:lineRule="exact"/>
        <w:ind w:firstLine="480" w:firstLineChars="200"/>
        <w:rPr>
          <w:rFonts w:ascii="宋体" w:hAnsi="宋体" w:cs="宋体"/>
          <w:color w:val="FF0000"/>
          <w:sz w:val="24"/>
        </w:rPr>
      </w:pPr>
      <w:r>
        <w:rPr>
          <w:rFonts w:hint="eastAsia" w:ascii="宋体" w:hAnsi="宋体" w:cs="宋体"/>
          <w:sz w:val="24"/>
        </w:rPr>
        <w:t>4.采购数量：</w:t>
      </w:r>
      <w:r>
        <w:rPr>
          <w:rFonts w:hint="eastAsia" w:ascii="宋体" w:hAnsi="宋体" w:cs="宋体"/>
          <w:color w:val="FF0000"/>
          <w:sz w:val="24"/>
        </w:rPr>
        <w:t>1套</w:t>
      </w:r>
    </w:p>
    <w:p>
      <w:pPr>
        <w:spacing w:line="420" w:lineRule="exact"/>
        <w:ind w:firstLine="480" w:firstLineChars="200"/>
        <w:rPr>
          <w:rFonts w:ascii="宋体" w:hAnsi="宋体" w:cs="宋体"/>
          <w:sz w:val="24"/>
        </w:rPr>
      </w:pPr>
      <w:r>
        <w:rPr>
          <w:rFonts w:hint="eastAsia" w:ascii="宋体" w:hAnsi="宋体" w:cs="宋体"/>
          <w:sz w:val="24"/>
        </w:rPr>
        <w:t>5.送货期：合同签订三天内</w:t>
      </w:r>
    </w:p>
    <w:p>
      <w:pPr>
        <w:spacing w:line="420" w:lineRule="exact"/>
        <w:ind w:firstLine="480" w:firstLineChars="200"/>
        <w:rPr>
          <w:rFonts w:ascii="宋体" w:hAnsi="宋体" w:cs="宋体"/>
          <w:sz w:val="24"/>
        </w:rPr>
      </w:pPr>
      <w:r>
        <w:rPr>
          <w:rFonts w:hint="eastAsia" w:ascii="宋体" w:hAnsi="宋体" w:cs="宋体"/>
          <w:sz w:val="24"/>
        </w:rPr>
        <w:t>6.交货地点：黄石市中心医院指定地点</w:t>
      </w:r>
    </w:p>
    <w:p>
      <w:pPr>
        <w:spacing w:line="420" w:lineRule="exact"/>
        <w:ind w:firstLine="480" w:firstLineChars="200"/>
        <w:rPr>
          <w:rFonts w:ascii="宋体" w:hAnsi="宋体" w:cs="宋体"/>
          <w:sz w:val="24"/>
        </w:rPr>
      </w:pPr>
      <w:r>
        <w:rPr>
          <w:rFonts w:hint="eastAsia" w:ascii="宋体" w:hAnsi="宋体" w:cs="宋体"/>
          <w:sz w:val="24"/>
        </w:rPr>
        <w:t>7.交货方式：免费上门安装调试至设备正常使用，验收合格</w:t>
      </w:r>
    </w:p>
    <w:p>
      <w:pPr>
        <w:spacing w:line="420" w:lineRule="exact"/>
        <w:ind w:firstLine="480" w:firstLineChars="200"/>
        <w:rPr>
          <w:rFonts w:ascii="宋体" w:hAnsi="宋体" w:cs="宋体"/>
          <w:sz w:val="24"/>
        </w:rPr>
      </w:pPr>
      <w:r>
        <w:rPr>
          <w:rFonts w:hint="eastAsia" w:ascii="宋体" w:hAnsi="宋体" w:cs="宋体"/>
          <w:sz w:val="24"/>
        </w:rPr>
        <w:t>8.质保期：技术规范及要求中标明质保期的以其为准，未标明的均为验收合格后不少于一年</w:t>
      </w:r>
    </w:p>
    <w:p>
      <w:pPr>
        <w:spacing w:line="420" w:lineRule="exact"/>
        <w:ind w:firstLine="480" w:firstLineChars="200"/>
        <w:rPr>
          <w:rFonts w:ascii="宋体" w:hAnsi="宋体" w:cs="宋体"/>
          <w:sz w:val="24"/>
        </w:rPr>
      </w:pPr>
      <w:r>
        <w:rPr>
          <w:rFonts w:hint="eastAsia" w:ascii="宋体" w:hAnsi="宋体" w:cs="宋体"/>
          <w:sz w:val="24"/>
        </w:rPr>
        <w:t>9.质量要求：符合国家管理、质检部门合格标准</w:t>
      </w:r>
    </w:p>
    <w:p>
      <w:pPr>
        <w:rPr>
          <w:rFonts w:ascii="宋体" w:hAnsi="宋体" w:cs="宋体"/>
          <w:b/>
          <w:bCs/>
          <w:color w:val="000000"/>
          <w:sz w:val="32"/>
          <w:szCs w:val="32"/>
        </w:rPr>
      </w:pPr>
      <w:r>
        <w:rPr>
          <w:rFonts w:hint="eastAsia" w:ascii="宋体" w:hAnsi="宋体" w:cs="宋体"/>
          <w:b/>
          <w:bCs/>
          <w:sz w:val="32"/>
          <w:szCs w:val="32"/>
        </w:rPr>
        <w:t>二、技术参数</w:t>
      </w:r>
    </w:p>
    <w:bookmarkEnd w:id="3"/>
    <w:bookmarkEnd w:id="4"/>
    <w:p>
      <w:pPr>
        <w:autoSpaceDE w:val="0"/>
        <w:autoSpaceDN w:val="0"/>
        <w:rPr>
          <w:rFonts w:ascii="宋体" w:hAnsi="宋体" w:cs="宋体"/>
          <w:sz w:val="28"/>
          <w:szCs w:val="28"/>
        </w:rPr>
      </w:pPr>
      <w:r>
        <w:rPr>
          <w:rFonts w:hint="eastAsia" w:ascii="宋体" w:hAnsi="宋体" w:cs="宋体"/>
          <w:sz w:val="28"/>
          <w:szCs w:val="28"/>
        </w:rPr>
        <w:t>1、采购清单</w:t>
      </w:r>
    </w:p>
    <w:tbl>
      <w:tblPr>
        <w:tblStyle w:val="5"/>
        <w:tblW w:w="3810" w:type="pct"/>
        <w:tblInd w:w="0" w:type="dxa"/>
        <w:tblLayout w:type="autofit"/>
        <w:tblCellMar>
          <w:top w:w="0" w:type="dxa"/>
          <w:left w:w="0" w:type="dxa"/>
          <w:bottom w:w="0" w:type="dxa"/>
          <w:right w:w="0" w:type="dxa"/>
        </w:tblCellMar>
      </w:tblPr>
      <w:tblGrid>
        <w:gridCol w:w="1499"/>
        <w:gridCol w:w="1499"/>
        <w:gridCol w:w="1986"/>
        <w:gridCol w:w="680"/>
        <w:gridCol w:w="680"/>
      </w:tblGrid>
      <w:tr>
        <w:tblPrEx>
          <w:tblCellMar>
            <w:top w:w="0" w:type="dxa"/>
            <w:left w:w="0" w:type="dxa"/>
            <w:bottom w:w="0" w:type="dxa"/>
            <w:right w:w="0" w:type="dxa"/>
          </w:tblCellMar>
        </w:tblPrEx>
        <w:trPr>
          <w:trHeight w:val="252" w:hRule="atLeast"/>
        </w:trPr>
        <w:tc>
          <w:tcPr>
            <w:tcW w:w="1181" w:type="pct"/>
            <w:tcBorders>
              <w:top w:val="single" w:color="000000" w:sz="4" w:space="0"/>
              <w:left w:val="single" w:color="000000" w:sz="4" w:space="0"/>
              <w:bottom w:val="single" w:color="auto" w:sz="4" w:space="0"/>
              <w:right w:val="single" w:color="000000" w:sz="4" w:space="0"/>
            </w:tcBorders>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序号</w:t>
            </w:r>
          </w:p>
        </w:tc>
        <w:tc>
          <w:tcPr>
            <w:tcW w:w="118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30"/>
                <w:szCs w:val="30"/>
                <w:lang w:bidi="ar"/>
              </w:rPr>
            </w:pPr>
            <w:bookmarkStart w:id="12" w:name="_Hlk166685138"/>
            <w:r>
              <w:rPr>
                <w:rFonts w:hint="eastAsia" w:asciiTheme="minorEastAsia" w:hAnsiTheme="minorEastAsia" w:eastAsiaTheme="minorEastAsia" w:cstheme="minorEastAsia"/>
                <w:color w:val="000000"/>
                <w:sz w:val="30"/>
                <w:szCs w:val="30"/>
                <w:lang w:bidi="ar"/>
              </w:rPr>
              <w:t>名称</w:t>
            </w:r>
          </w:p>
        </w:tc>
        <w:tc>
          <w:tcPr>
            <w:tcW w:w="1565"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说明</w:t>
            </w:r>
          </w:p>
        </w:tc>
        <w:tc>
          <w:tcPr>
            <w:tcW w:w="53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数量</w:t>
            </w:r>
          </w:p>
        </w:tc>
        <w:tc>
          <w:tcPr>
            <w:tcW w:w="53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单位</w:t>
            </w:r>
          </w:p>
        </w:tc>
      </w:tr>
      <w:tr>
        <w:tblPrEx>
          <w:tblCellMar>
            <w:top w:w="0" w:type="dxa"/>
            <w:left w:w="0" w:type="dxa"/>
            <w:bottom w:w="0" w:type="dxa"/>
            <w:right w:w="0" w:type="dxa"/>
          </w:tblCellMar>
        </w:tblPrEx>
        <w:trPr>
          <w:trHeight w:val="183" w:hRule="atLeast"/>
        </w:trPr>
        <w:tc>
          <w:tcPr>
            <w:tcW w:w="1181" w:type="pct"/>
            <w:tcBorders>
              <w:top w:val="single" w:color="auto" w:sz="4" w:space="0"/>
              <w:left w:val="single" w:color="auto" w:sz="4" w:space="0"/>
              <w:bottom w:val="single" w:color="auto" w:sz="4" w:space="0"/>
              <w:right w:val="single" w:color="auto" w:sz="4" w:space="0"/>
            </w:tcBorders>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1</w:t>
            </w:r>
          </w:p>
        </w:tc>
        <w:tc>
          <w:tcPr>
            <w:tcW w:w="118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bidi="ar"/>
              </w:rPr>
              <w:t>软件</w:t>
            </w:r>
          </w:p>
        </w:tc>
        <w:tc>
          <w:tcPr>
            <w:tcW w:w="15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病人签到排队</w:t>
            </w:r>
          </w:p>
        </w:tc>
        <w:tc>
          <w:tcPr>
            <w:tcW w:w="5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bidi="ar"/>
              </w:rPr>
              <w:t>1</w:t>
            </w:r>
          </w:p>
        </w:tc>
        <w:tc>
          <w:tcPr>
            <w:tcW w:w="5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bidi="ar"/>
              </w:rPr>
              <w:t>套</w:t>
            </w:r>
          </w:p>
        </w:tc>
      </w:tr>
      <w:tr>
        <w:tblPrEx>
          <w:tblCellMar>
            <w:top w:w="0" w:type="dxa"/>
            <w:left w:w="0" w:type="dxa"/>
            <w:bottom w:w="0" w:type="dxa"/>
            <w:right w:w="0" w:type="dxa"/>
          </w:tblCellMar>
        </w:tblPrEx>
        <w:trPr>
          <w:trHeight w:val="171" w:hRule="atLeast"/>
        </w:trPr>
        <w:tc>
          <w:tcPr>
            <w:tcW w:w="1181" w:type="pct"/>
            <w:tcBorders>
              <w:top w:val="single" w:color="auto" w:sz="4" w:space="0"/>
              <w:left w:val="single" w:color="auto" w:sz="4" w:space="0"/>
              <w:bottom w:val="single" w:color="auto" w:sz="4" w:space="0"/>
              <w:right w:val="single" w:color="auto" w:sz="4" w:space="0"/>
            </w:tcBorders>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2</w:t>
            </w:r>
          </w:p>
        </w:tc>
        <w:tc>
          <w:tcPr>
            <w:tcW w:w="11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bidi="ar"/>
              </w:rPr>
              <w:t>签到机</w:t>
            </w:r>
          </w:p>
        </w:tc>
        <w:tc>
          <w:tcPr>
            <w:tcW w:w="15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19寸签到</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2</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bidi="ar"/>
              </w:rPr>
              <w:t>个</w:t>
            </w:r>
          </w:p>
        </w:tc>
      </w:tr>
      <w:tr>
        <w:tblPrEx>
          <w:tblCellMar>
            <w:top w:w="0" w:type="dxa"/>
            <w:left w:w="0" w:type="dxa"/>
            <w:bottom w:w="0" w:type="dxa"/>
            <w:right w:w="0" w:type="dxa"/>
          </w:tblCellMar>
        </w:tblPrEx>
        <w:trPr>
          <w:trHeight w:val="171" w:hRule="atLeast"/>
        </w:trPr>
        <w:tc>
          <w:tcPr>
            <w:tcW w:w="1181" w:type="pct"/>
            <w:tcBorders>
              <w:top w:val="single" w:color="auto" w:sz="4" w:space="0"/>
              <w:left w:val="single" w:color="auto" w:sz="4" w:space="0"/>
              <w:bottom w:val="single" w:color="auto" w:sz="4" w:space="0"/>
              <w:right w:val="single" w:color="auto" w:sz="4" w:space="0"/>
            </w:tcBorders>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3</w:t>
            </w:r>
          </w:p>
        </w:tc>
        <w:tc>
          <w:tcPr>
            <w:tcW w:w="11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诊室屏</w:t>
            </w:r>
          </w:p>
        </w:tc>
        <w:tc>
          <w:tcPr>
            <w:tcW w:w="15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21.5寸液晶屏</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10</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个</w:t>
            </w:r>
          </w:p>
        </w:tc>
      </w:tr>
      <w:tr>
        <w:tblPrEx>
          <w:tblCellMar>
            <w:top w:w="0" w:type="dxa"/>
            <w:left w:w="0" w:type="dxa"/>
            <w:bottom w:w="0" w:type="dxa"/>
            <w:right w:w="0" w:type="dxa"/>
          </w:tblCellMar>
        </w:tblPrEx>
        <w:trPr>
          <w:trHeight w:val="171" w:hRule="atLeast"/>
        </w:trPr>
        <w:tc>
          <w:tcPr>
            <w:tcW w:w="1181" w:type="pct"/>
            <w:tcBorders>
              <w:top w:val="single" w:color="auto" w:sz="4" w:space="0"/>
              <w:left w:val="single" w:color="auto" w:sz="4" w:space="0"/>
              <w:bottom w:val="single" w:color="auto" w:sz="4" w:space="0"/>
              <w:right w:val="single" w:color="auto" w:sz="4" w:space="0"/>
            </w:tcBorders>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4</w:t>
            </w:r>
          </w:p>
        </w:tc>
        <w:tc>
          <w:tcPr>
            <w:tcW w:w="11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叫号盒子</w:t>
            </w:r>
          </w:p>
        </w:tc>
        <w:tc>
          <w:tcPr>
            <w:tcW w:w="15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接电视机</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个</w:t>
            </w:r>
          </w:p>
        </w:tc>
      </w:tr>
      <w:tr>
        <w:tblPrEx>
          <w:tblCellMar>
            <w:top w:w="0" w:type="dxa"/>
            <w:left w:w="0" w:type="dxa"/>
            <w:bottom w:w="0" w:type="dxa"/>
            <w:right w:w="0" w:type="dxa"/>
          </w:tblCellMar>
        </w:tblPrEx>
        <w:trPr>
          <w:trHeight w:val="171" w:hRule="atLeast"/>
        </w:trPr>
        <w:tc>
          <w:tcPr>
            <w:tcW w:w="1181" w:type="pct"/>
            <w:tcBorders>
              <w:top w:val="single" w:color="auto" w:sz="4" w:space="0"/>
              <w:left w:val="single" w:color="auto" w:sz="4" w:space="0"/>
              <w:bottom w:val="single" w:color="auto" w:sz="4" w:space="0"/>
              <w:right w:val="single" w:color="auto" w:sz="4" w:space="0"/>
            </w:tcBorders>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5</w:t>
            </w:r>
          </w:p>
        </w:tc>
        <w:tc>
          <w:tcPr>
            <w:tcW w:w="11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电视</w:t>
            </w:r>
          </w:p>
        </w:tc>
        <w:tc>
          <w:tcPr>
            <w:tcW w:w="15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电视50寸</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个</w:t>
            </w:r>
          </w:p>
        </w:tc>
      </w:tr>
      <w:tr>
        <w:tblPrEx>
          <w:tblCellMar>
            <w:top w:w="0" w:type="dxa"/>
            <w:left w:w="0" w:type="dxa"/>
            <w:bottom w:w="0" w:type="dxa"/>
            <w:right w:w="0" w:type="dxa"/>
          </w:tblCellMar>
        </w:tblPrEx>
        <w:trPr>
          <w:trHeight w:val="254" w:hRule="atLeast"/>
        </w:trPr>
        <w:tc>
          <w:tcPr>
            <w:tcW w:w="1181"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w:t>
            </w:r>
          </w:p>
        </w:tc>
        <w:tc>
          <w:tcPr>
            <w:tcW w:w="11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功放</w:t>
            </w:r>
          </w:p>
        </w:tc>
        <w:tc>
          <w:tcPr>
            <w:tcW w:w="15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100W</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1</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个</w:t>
            </w:r>
          </w:p>
        </w:tc>
      </w:tr>
      <w:tr>
        <w:tblPrEx>
          <w:tblCellMar>
            <w:top w:w="0" w:type="dxa"/>
            <w:left w:w="0" w:type="dxa"/>
            <w:bottom w:w="0" w:type="dxa"/>
            <w:right w:w="0" w:type="dxa"/>
          </w:tblCellMar>
        </w:tblPrEx>
        <w:trPr>
          <w:trHeight w:val="254" w:hRule="atLeast"/>
        </w:trPr>
        <w:tc>
          <w:tcPr>
            <w:tcW w:w="1181" w:type="pc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w:t>
            </w:r>
          </w:p>
        </w:tc>
        <w:tc>
          <w:tcPr>
            <w:tcW w:w="118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吸顶音响</w:t>
            </w:r>
          </w:p>
        </w:tc>
        <w:tc>
          <w:tcPr>
            <w:tcW w:w="15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15W</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3</w:t>
            </w:r>
          </w:p>
        </w:tc>
        <w:tc>
          <w:tcPr>
            <w:tcW w:w="5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Theme="minorEastAsia" w:hAnsiTheme="minorEastAsia" w:eastAsiaTheme="minorEastAsia" w:cstheme="minorEastAsia"/>
                <w:color w:val="000000"/>
                <w:sz w:val="30"/>
                <w:szCs w:val="30"/>
                <w:lang w:bidi="ar"/>
              </w:rPr>
            </w:pPr>
            <w:r>
              <w:rPr>
                <w:rFonts w:hint="eastAsia" w:asciiTheme="minorEastAsia" w:hAnsiTheme="minorEastAsia" w:eastAsiaTheme="minorEastAsia" w:cstheme="minorEastAsia"/>
                <w:color w:val="000000"/>
                <w:sz w:val="30"/>
                <w:szCs w:val="30"/>
                <w:lang w:bidi="ar"/>
              </w:rPr>
              <w:t>个</w:t>
            </w:r>
          </w:p>
        </w:tc>
      </w:tr>
      <w:bookmarkEnd w:id="12"/>
    </w:tbl>
    <w:p>
      <w:pPr>
        <w:autoSpaceDE w:val="0"/>
        <w:autoSpaceDN w:val="0"/>
        <w:rPr>
          <w:rFonts w:ascii="宋体" w:hAnsi="宋体" w:cs="宋体"/>
          <w:sz w:val="28"/>
          <w:szCs w:val="28"/>
        </w:rPr>
      </w:pPr>
    </w:p>
    <w:p>
      <w:pPr>
        <w:autoSpaceDE w:val="0"/>
        <w:autoSpaceDN w:val="0"/>
        <w:rPr>
          <w:rFonts w:ascii="宋体" w:hAnsi="宋体" w:cs="宋体"/>
          <w:sz w:val="28"/>
          <w:szCs w:val="28"/>
        </w:rPr>
      </w:pPr>
      <w:r>
        <w:rPr>
          <w:rFonts w:hint="eastAsia" w:ascii="宋体" w:hAnsi="宋体" w:cs="宋体"/>
          <w:sz w:val="28"/>
          <w:szCs w:val="28"/>
        </w:rPr>
        <w:t>2、排队叫号排队功能要求，支持三种模式：</w:t>
      </w:r>
    </w:p>
    <w:p>
      <w:pPr>
        <w:pStyle w:val="8"/>
        <w:autoSpaceDE w:val="0"/>
        <w:autoSpaceDN w:val="0"/>
        <w:ind w:left="360" w:firstLine="0" w:firstLineChars="0"/>
        <w:rPr>
          <w:rFonts w:ascii="宋体" w:hAnsi="宋体" w:cs="宋体"/>
          <w:sz w:val="28"/>
          <w:szCs w:val="28"/>
        </w:rPr>
      </w:pPr>
      <w:r>
        <w:rPr>
          <w:rFonts w:hint="eastAsia" w:ascii="宋体" w:hAnsi="宋体" w:cs="宋体"/>
          <w:sz w:val="28"/>
          <w:szCs w:val="28"/>
        </w:rPr>
        <w:t>（1）、挂号直接排队；HIS直接排队，无需签到</w:t>
      </w:r>
    </w:p>
    <w:p>
      <w:pPr>
        <w:pStyle w:val="8"/>
        <w:autoSpaceDE w:val="0"/>
        <w:autoSpaceDN w:val="0"/>
        <w:ind w:left="360" w:firstLine="0" w:firstLineChars="0"/>
        <w:rPr>
          <w:rFonts w:ascii="宋体" w:hAnsi="宋体" w:cs="宋体"/>
          <w:sz w:val="28"/>
          <w:szCs w:val="28"/>
        </w:rPr>
      </w:pPr>
      <w:r>
        <w:rPr>
          <w:rFonts w:hint="eastAsia" w:ascii="宋体" w:hAnsi="宋体" w:cs="宋体"/>
          <w:sz w:val="28"/>
          <w:szCs w:val="28"/>
        </w:rPr>
        <w:t>（2）、诊室混合排队；HIS排队现场插队</w:t>
      </w:r>
    </w:p>
    <w:p>
      <w:pPr>
        <w:pStyle w:val="8"/>
        <w:autoSpaceDE w:val="0"/>
        <w:autoSpaceDN w:val="0"/>
        <w:ind w:firstLine="560"/>
        <w:rPr>
          <w:rFonts w:ascii="宋体" w:hAnsi="宋体" w:cs="宋体"/>
          <w:sz w:val="28"/>
          <w:szCs w:val="28"/>
        </w:rPr>
      </w:pPr>
      <w:r>
        <w:rPr>
          <w:rFonts w:hint="eastAsia" w:ascii="宋体" w:hAnsi="宋体" w:cs="宋体"/>
          <w:sz w:val="28"/>
          <w:szCs w:val="28"/>
        </w:rPr>
        <w:t>3、签到排队；</w:t>
      </w:r>
    </w:p>
    <w:p>
      <w:pPr>
        <w:pStyle w:val="8"/>
        <w:autoSpaceDE w:val="0"/>
        <w:autoSpaceDN w:val="0"/>
        <w:ind w:left="360" w:firstLine="0" w:firstLineChars="0"/>
        <w:rPr>
          <w:rFonts w:ascii="宋体" w:hAnsi="宋体" w:cs="宋体"/>
          <w:sz w:val="28"/>
          <w:szCs w:val="28"/>
        </w:rPr>
      </w:pPr>
      <w:r>
        <w:rPr>
          <w:rFonts w:hint="eastAsia" w:ascii="宋体" w:hAnsi="宋体" w:cs="宋体"/>
          <w:sz w:val="28"/>
          <w:szCs w:val="28"/>
        </w:rPr>
        <w:t>患者挂号后，去科室需要签到，再激活排队。</w:t>
      </w:r>
    </w:p>
    <w:p>
      <w:pPr>
        <w:autoSpaceDE w:val="0"/>
        <w:autoSpaceDN w:val="0"/>
        <w:rPr>
          <w:rFonts w:ascii="宋体" w:hAnsi="宋体" w:cs="宋体"/>
          <w:sz w:val="28"/>
          <w:szCs w:val="28"/>
        </w:rPr>
      </w:pPr>
      <w:r>
        <w:rPr>
          <w:rFonts w:hint="eastAsia" w:ascii="宋体" w:hAnsi="宋体" w:cs="宋体"/>
          <w:sz w:val="28"/>
          <w:szCs w:val="28"/>
        </w:rPr>
        <w:t>（1）签到流程，科室要两台签到机，扫码进行签到，并按照患者先来后到的顺序进行排队。</w:t>
      </w:r>
    </w:p>
    <w:p>
      <w:pPr>
        <w:autoSpaceDE w:val="0"/>
        <w:autoSpaceDN w:val="0"/>
        <w:rPr>
          <w:sz w:val="28"/>
          <w:szCs w:val="28"/>
        </w:rPr>
      </w:pPr>
      <w:r>
        <w:rPr>
          <w:rFonts w:hint="eastAsia"/>
          <w:sz w:val="28"/>
          <w:szCs w:val="28"/>
        </w:rPr>
        <w:t>（2）看结果</w:t>
      </w:r>
      <w:r>
        <w:rPr>
          <w:rFonts w:hint="eastAsia" w:ascii="宋体" w:hAnsi="宋体" w:cs="宋体"/>
          <w:sz w:val="28"/>
          <w:szCs w:val="28"/>
        </w:rPr>
        <w:t>的患者先到签到机上用就诊单上的条码（患者ID）扫描激活复诊并排队！并排队对应医生诊室就诊</w:t>
      </w:r>
    </w:p>
    <w:p>
      <w:pPr>
        <w:rPr>
          <w:sz w:val="28"/>
          <w:szCs w:val="28"/>
        </w:rPr>
      </w:pPr>
      <w:r>
        <w:rPr>
          <w:rFonts w:hint="eastAsia"/>
          <w:sz w:val="28"/>
          <w:szCs w:val="28"/>
        </w:rPr>
        <w:t>看结果患者签到排队顺序为：一个正常患者（A）一个看结果患者(B)</w:t>
      </w:r>
    </w:p>
    <w:p>
      <w:pPr>
        <w:rPr>
          <w:sz w:val="28"/>
          <w:szCs w:val="28"/>
        </w:rPr>
      </w:pPr>
      <w:r>
        <w:rPr>
          <w:rFonts w:hint="eastAsia"/>
          <w:sz w:val="28"/>
          <w:szCs w:val="28"/>
        </w:rPr>
        <w:t>顺序为：A-B-A-B-A-B以上内推</w:t>
      </w:r>
    </w:p>
    <w:p>
      <w:pPr>
        <w:rPr>
          <w:sz w:val="28"/>
          <w:szCs w:val="28"/>
        </w:rPr>
      </w:pPr>
      <w:r>
        <w:rPr>
          <w:rFonts w:hint="eastAsia"/>
          <w:sz w:val="28"/>
          <w:szCs w:val="28"/>
        </w:rPr>
        <w:t>签到排序修改为0001四位</w:t>
      </w:r>
    </w:p>
    <w:p>
      <w:pPr>
        <w:rPr>
          <w:sz w:val="28"/>
          <w:szCs w:val="28"/>
        </w:rPr>
      </w:pPr>
      <w:r>
        <w:rPr>
          <w:rFonts w:hint="eastAsia"/>
          <w:sz w:val="28"/>
          <w:szCs w:val="28"/>
        </w:rPr>
        <w:t>看结果排序修改为K001四位</w:t>
      </w:r>
    </w:p>
    <w:p>
      <w:pPr>
        <w:pStyle w:val="8"/>
        <w:autoSpaceDE w:val="0"/>
        <w:autoSpaceDN w:val="0"/>
        <w:ind w:firstLine="0" w:firstLineChars="0"/>
        <w:rPr>
          <w:sz w:val="18"/>
        </w:rPr>
      </w:pPr>
    </w:p>
    <w:p>
      <w:pPr>
        <w:pStyle w:val="8"/>
        <w:autoSpaceDE w:val="0"/>
        <w:autoSpaceDN w:val="0"/>
        <w:ind w:firstLine="0" w:firstLineChars="0"/>
        <w:rPr>
          <w:sz w:val="18"/>
        </w:rPr>
      </w:pPr>
    </w:p>
    <w:p>
      <w:pPr>
        <w:pStyle w:val="8"/>
        <w:autoSpaceDE w:val="0"/>
        <w:autoSpaceDN w:val="0"/>
        <w:ind w:firstLine="0" w:firstLineChars="0"/>
        <w:rPr>
          <w:sz w:val="18"/>
        </w:rPr>
      </w:pPr>
    </w:p>
    <w:p>
      <w:pPr>
        <w:rPr>
          <w:sz w:val="18"/>
        </w:rPr>
      </w:pPr>
      <w:r>
        <w:rPr>
          <w:sz w:val="18"/>
        </w:rPr>
        <w:br w:type="page"/>
      </w:r>
    </w:p>
    <w:p>
      <w:pPr>
        <w:rPr>
          <w:sz w:val="18"/>
        </w:rPr>
      </w:pPr>
      <w:r>
        <w:rPr>
          <w:rFonts w:hint="eastAsia"/>
          <w:sz w:val="18"/>
        </w:rPr>
        <w:t>4、设备参数</w:t>
      </w:r>
    </w:p>
    <w:tbl>
      <w:tblPr>
        <w:tblStyle w:val="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6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11" w:type="dxa"/>
            <w:tcBorders>
              <w:top w:val="single" w:color="auto" w:sz="4" w:space="0"/>
            </w:tcBorders>
            <w:vAlign w:val="center"/>
          </w:tcPr>
          <w:p>
            <w:pPr>
              <w:rPr>
                <w:rFonts w:ascii="宋体" w:hAnsi="宋体" w:cs="宋体"/>
                <w:color w:val="000000"/>
                <w:szCs w:val="21"/>
              </w:rPr>
            </w:pPr>
            <w:r>
              <w:rPr>
                <w:rFonts w:hint="eastAsia" w:ascii="宋体" w:hAnsi="宋体" w:cs="宋体"/>
                <w:color w:val="000000"/>
                <w:szCs w:val="21"/>
              </w:rPr>
              <w:t>名称</w:t>
            </w:r>
          </w:p>
        </w:tc>
        <w:tc>
          <w:tcPr>
            <w:tcW w:w="6417" w:type="dxa"/>
            <w:tcBorders>
              <w:top w:val="single" w:color="auto" w:sz="4" w:space="0"/>
            </w:tcBorders>
            <w:vAlign w:val="center"/>
          </w:tcPr>
          <w:p>
            <w:pPr>
              <w:rPr>
                <w:rFonts w:ascii="宋体" w:hAnsi="宋体" w:cs="宋体"/>
                <w:color w:val="000000"/>
                <w:szCs w:val="21"/>
              </w:rPr>
            </w:pPr>
            <w:r>
              <w:rPr>
                <w:rFonts w:hint="eastAsia" w:ascii="宋体" w:hAnsi="宋体" w:cs="宋体"/>
                <w:color w:val="000000"/>
                <w:szCs w:val="21"/>
              </w:rPr>
              <w:t>智能自助服务终端机签到机\报到机\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528" w:type="dxa"/>
            <w:gridSpan w:val="2"/>
            <w:tcBorders>
              <w:top w:val="single" w:color="auto" w:sz="4" w:space="0"/>
            </w:tcBorders>
            <w:vAlign w:val="center"/>
          </w:tcPr>
          <w:p>
            <w:pP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11" w:type="dxa"/>
            <w:tcBorders>
              <w:top w:val="single" w:color="auto" w:sz="4" w:space="0"/>
            </w:tcBorders>
            <w:vAlign w:val="center"/>
          </w:tcPr>
          <w:p>
            <w:pPr>
              <w:rPr>
                <w:rFonts w:ascii="宋体" w:hAnsi="宋体" w:cs="宋体"/>
                <w:color w:val="000000"/>
                <w:szCs w:val="21"/>
              </w:rPr>
            </w:pPr>
            <w:r>
              <w:rPr>
                <w:rFonts w:hint="eastAsia" w:ascii="宋体" w:hAnsi="宋体" w:cs="宋体"/>
                <w:color w:val="000000"/>
                <w:szCs w:val="21"/>
              </w:rPr>
              <w:t>功能模块</w:t>
            </w:r>
          </w:p>
        </w:tc>
        <w:tc>
          <w:tcPr>
            <w:tcW w:w="6417" w:type="dxa"/>
            <w:tcBorders>
              <w:top w:val="single" w:color="auto" w:sz="4" w:space="0"/>
            </w:tcBorders>
            <w:vAlign w:val="center"/>
          </w:tcPr>
          <w:p>
            <w:pPr>
              <w:rPr>
                <w:rFonts w:ascii="宋体" w:hAnsi="宋体" w:cs="宋体"/>
                <w:color w:val="000000"/>
                <w:szCs w:val="21"/>
              </w:rPr>
            </w:pPr>
            <w:r>
              <w:rPr>
                <w:rFonts w:hint="eastAsia" w:ascii="宋体" w:hAnsi="宋体" w:cs="宋体"/>
                <w:color w:val="000000"/>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2111" w:type="dxa"/>
            <w:vAlign w:val="center"/>
          </w:tcPr>
          <w:p>
            <w:pPr>
              <w:rPr>
                <w:rFonts w:ascii="宋体" w:hAnsi="宋体" w:cs="宋体"/>
                <w:color w:val="000000"/>
                <w:szCs w:val="21"/>
              </w:rPr>
            </w:pPr>
            <w:r>
              <w:rPr>
                <w:rFonts w:hint="eastAsia" w:ascii="宋体" w:hAnsi="宋体" w:cs="宋体"/>
                <w:color w:val="000000"/>
                <w:szCs w:val="21"/>
              </w:rPr>
              <w:t>机柜</w:t>
            </w:r>
          </w:p>
        </w:tc>
        <w:tc>
          <w:tcPr>
            <w:tcW w:w="6417" w:type="dxa"/>
            <w:vAlign w:val="center"/>
          </w:tcPr>
          <w:p>
            <w:r>
              <w:rPr>
                <w:rFonts w:hint="eastAsia"/>
              </w:rPr>
              <w:t>大堂立式机柜</w:t>
            </w:r>
          </w:p>
          <w:p>
            <w:r>
              <w:rPr>
                <w:rFonts w:hint="eastAsia"/>
              </w:rPr>
              <w:t xml:space="preserve">材质：1.5mm钣金，坚硬厚实，不易变形，新颖美观；表层处理：防锈、防腐、耐磨，不易沾污损坏；内部结构：模块定位采用轨道前后拖拉式，布线规范整齐；外部结构：各部件模块与机柜结合紧密，布局合理，工艺精细； </w:t>
            </w:r>
          </w:p>
          <w:p>
            <w:pPr>
              <w:pStyle w:val="2"/>
            </w:pPr>
            <w:r>
              <w:rPr>
                <w:rFonts w:hint="eastAsia" w:ascii="宋体" w:hAnsi="宋体" w:cs="宋体"/>
                <w:color w:val="000000"/>
                <w:szCs w:val="21"/>
              </w:rPr>
              <w:t>颜色：白色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1" w:type="dxa"/>
            <w:vAlign w:val="center"/>
          </w:tcPr>
          <w:p>
            <w:pPr>
              <w:rPr>
                <w:rFonts w:ascii="宋体" w:hAnsi="宋体" w:cs="宋体"/>
                <w:color w:val="000000"/>
                <w:szCs w:val="21"/>
              </w:rPr>
            </w:pPr>
            <w:r>
              <w:rPr>
                <w:rFonts w:hint="eastAsia" w:ascii="宋体" w:hAnsi="宋体" w:cs="宋体"/>
                <w:color w:val="000000"/>
                <w:szCs w:val="21"/>
              </w:rPr>
              <w:t>工控主机</w:t>
            </w:r>
          </w:p>
        </w:tc>
        <w:tc>
          <w:tcPr>
            <w:tcW w:w="6417" w:type="dxa"/>
            <w:vAlign w:val="center"/>
          </w:tcPr>
          <w:p>
            <w:pPr>
              <w:rPr>
                <w:rFonts w:ascii="宋体" w:hAnsi="宋体" w:cs="宋体"/>
                <w:color w:val="000000"/>
                <w:szCs w:val="21"/>
              </w:rPr>
            </w:pPr>
            <w:r>
              <w:rPr>
                <w:rFonts w:hint="eastAsia" w:ascii="宋体" w:hAnsi="宋体" w:cs="宋体"/>
                <w:color w:val="000000"/>
                <w:szCs w:val="21"/>
              </w:rPr>
              <w:t>工控主机</w:t>
            </w:r>
          </w:p>
          <w:p>
            <w:pPr>
              <w:rPr>
                <w:rFonts w:ascii="宋体" w:hAnsi="宋体" w:cs="宋体"/>
                <w:color w:val="000000"/>
                <w:szCs w:val="21"/>
              </w:rPr>
            </w:pPr>
            <w:r>
              <w:rPr>
                <w:rFonts w:hint="eastAsia" w:ascii="宋体" w:hAnsi="宋体" w:cs="宋体"/>
                <w:color w:val="000000"/>
                <w:szCs w:val="21"/>
              </w:rPr>
              <w:t xml:space="preserve">CPU类型：不低于I3 3288 </w:t>
            </w:r>
          </w:p>
          <w:p>
            <w:pPr>
              <w:rPr>
                <w:rFonts w:ascii="宋体" w:hAnsi="宋体" w:cs="宋体"/>
                <w:color w:val="000000"/>
                <w:szCs w:val="21"/>
              </w:rPr>
            </w:pPr>
            <w:r>
              <w:rPr>
                <w:rFonts w:hint="eastAsia" w:ascii="宋体" w:hAnsi="宋体" w:cs="宋体"/>
                <w:color w:val="000000"/>
                <w:szCs w:val="21"/>
              </w:rPr>
              <w:t>内存： 不低于DDR3 4G ;</w:t>
            </w:r>
          </w:p>
          <w:p>
            <w:pPr>
              <w:rPr>
                <w:rFonts w:ascii="宋体" w:hAnsi="宋体" w:cs="宋体"/>
                <w:color w:val="000000"/>
                <w:szCs w:val="21"/>
              </w:rPr>
            </w:pPr>
            <w:r>
              <w:rPr>
                <w:rFonts w:hint="eastAsia" w:ascii="宋体" w:hAnsi="宋体" w:cs="宋体"/>
                <w:color w:val="000000"/>
                <w:szCs w:val="21"/>
              </w:rPr>
              <w:t>硬盘：不低于MSSD64G</w:t>
            </w:r>
          </w:p>
          <w:p>
            <w:pPr>
              <w:rPr>
                <w:rFonts w:ascii="宋体" w:hAnsi="宋体" w:cs="宋体"/>
                <w:color w:val="000000"/>
                <w:szCs w:val="21"/>
              </w:rPr>
            </w:pPr>
            <w:r>
              <w:rPr>
                <w:rFonts w:hint="eastAsia" w:ascii="宋体" w:hAnsi="宋体" w:cs="宋体"/>
                <w:color w:val="000000"/>
                <w:szCs w:val="21"/>
              </w:rPr>
              <w:t>串口：不低于4个</w:t>
            </w:r>
          </w:p>
          <w:p>
            <w:pPr>
              <w:rPr>
                <w:rFonts w:ascii="宋体" w:hAnsi="宋体" w:cs="宋体"/>
                <w:color w:val="000000"/>
                <w:szCs w:val="21"/>
              </w:rPr>
            </w:pPr>
            <w:r>
              <w:rPr>
                <w:rFonts w:hint="eastAsia" w:ascii="宋体" w:hAnsi="宋体" w:cs="宋体"/>
                <w:color w:val="000000"/>
                <w:szCs w:val="21"/>
              </w:rPr>
              <w:t>USB接口：不低于6个</w:t>
            </w:r>
          </w:p>
          <w:p>
            <w:pPr>
              <w:rPr>
                <w:rFonts w:ascii="宋体" w:hAnsi="宋体" w:cs="宋体"/>
                <w:color w:val="000000"/>
                <w:szCs w:val="21"/>
              </w:rPr>
            </w:pPr>
            <w:r>
              <w:rPr>
                <w:rFonts w:hint="eastAsia" w:ascii="宋体" w:hAnsi="宋体" w:cs="宋体"/>
                <w:color w:val="000000"/>
                <w:szCs w:val="21"/>
              </w:rPr>
              <w:t>网络： 100M/1000M以太网卡</w:t>
            </w:r>
          </w:p>
          <w:p>
            <w:pPr>
              <w:rPr>
                <w:rFonts w:ascii="宋体" w:hAnsi="宋体" w:cs="宋体"/>
                <w:color w:val="000000"/>
                <w:szCs w:val="21"/>
              </w:rPr>
            </w:pPr>
            <w:r>
              <w:rPr>
                <w:rFonts w:hint="eastAsia" w:ascii="宋体" w:hAnsi="宋体" w:cs="宋体"/>
                <w:color w:val="000000"/>
                <w:szCs w:val="21"/>
              </w:rPr>
              <w:t>声卡显卡：集成显卡声卡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1" w:type="dxa"/>
            <w:vAlign w:val="center"/>
          </w:tcPr>
          <w:p>
            <w:pPr>
              <w:rPr>
                <w:rFonts w:ascii="宋体" w:hAnsi="宋体" w:cs="宋体"/>
                <w:color w:val="000000"/>
                <w:szCs w:val="21"/>
              </w:rPr>
            </w:pPr>
            <w:r>
              <w:rPr>
                <w:rFonts w:hint="eastAsia" w:ascii="宋体" w:hAnsi="宋体" w:cs="宋体"/>
                <w:color w:val="000000"/>
                <w:szCs w:val="21"/>
              </w:rPr>
              <w:t>触摸显示屏</w:t>
            </w:r>
          </w:p>
        </w:tc>
        <w:tc>
          <w:tcPr>
            <w:tcW w:w="6417" w:type="dxa"/>
            <w:vAlign w:val="center"/>
          </w:tcPr>
          <w:p>
            <w:pPr>
              <w:rPr>
                <w:rFonts w:ascii="宋体" w:hAnsi="宋体" w:cs="宋体"/>
                <w:color w:val="000000"/>
                <w:szCs w:val="21"/>
              </w:rPr>
            </w:pPr>
            <w:r>
              <w:rPr>
                <w:rFonts w:hint="eastAsia" w:ascii="宋体" w:hAnsi="宋体" w:cs="宋体"/>
                <w:color w:val="000000"/>
                <w:szCs w:val="21"/>
              </w:rPr>
              <w:t>电容屏</w:t>
            </w:r>
          </w:p>
          <w:p>
            <w:pPr>
              <w:rPr>
                <w:rFonts w:ascii="宋体" w:hAnsi="宋体" w:cs="宋体"/>
                <w:color w:val="000000"/>
                <w:szCs w:val="21"/>
              </w:rPr>
            </w:pPr>
            <w:r>
              <w:rPr>
                <w:rFonts w:hint="eastAsia" w:ascii="宋体" w:hAnsi="宋体" w:cs="宋体"/>
                <w:color w:val="000000"/>
                <w:szCs w:val="21"/>
              </w:rPr>
              <w:t>19”真彩TFT LCD、分辨率：最大1280*1024、响应不大于8ms、</w:t>
            </w:r>
          </w:p>
          <w:p>
            <w:pPr>
              <w:rPr>
                <w:rFonts w:ascii="宋体" w:hAnsi="宋体" w:cs="宋体"/>
                <w:color w:val="000000"/>
                <w:szCs w:val="21"/>
              </w:rPr>
            </w:pPr>
            <w:r>
              <w:rPr>
                <w:rFonts w:hint="eastAsia" w:ascii="宋体" w:hAnsi="宋体" w:cs="宋体"/>
                <w:color w:val="000000"/>
                <w:szCs w:val="21"/>
              </w:rPr>
              <w:t>19”防爆触摸屏，多点触控电容屏，防刮、防尘、防水；</w:t>
            </w:r>
          </w:p>
          <w:p>
            <w:pPr>
              <w:rPr>
                <w:rFonts w:ascii="宋体" w:hAnsi="宋体" w:cs="宋体"/>
                <w:color w:val="000000"/>
                <w:szCs w:val="21"/>
              </w:rPr>
            </w:pPr>
            <w:r>
              <w:rPr>
                <w:rFonts w:hint="eastAsia" w:ascii="宋体" w:hAnsi="宋体" w:cs="宋体"/>
                <w:color w:val="000000"/>
                <w:szCs w:val="21"/>
              </w:rPr>
              <w:t>触摸反应时间：≤20ms；单点触摸寿命3500万次</w:t>
            </w:r>
          </w:p>
          <w:p>
            <w:pPr>
              <w:rPr>
                <w:rFonts w:ascii="宋体" w:hAnsi="宋体" w:cs="宋体"/>
                <w:color w:val="000000"/>
                <w:szCs w:val="21"/>
              </w:rPr>
            </w:pPr>
            <w:r>
              <w:rPr>
                <w:rFonts w:hint="eastAsia" w:ascii="宋体" w:hAnsi="宋体" w:cs="宋体"/>
                <w:color w:val="000000"/>
                <w:szCs w:val="21"/>
              </w:rPr>
              <w:t>表面硬度为莫式7级（以上）、感应力度小于127g力、透光度&gt;95%</w:t>
            </w:r>
          </w:p>
          <w:p>
            <w:pPr>
              <w:rPr>
                <w:rFonts w:ascii="宋体" w:hAnsi="宋体" w:cs="宋体"/>
                <w:color w:val="000000"/>
                <w:szCs w:val="21"/>
              </w:rPr>
            </w:pPr>
            <w:r>
              <w:rPr>
                <w:rFonts w:hint="eastAsia" w:ascii="宋体" w:hAnsi="宋体" w:cs="宋体"/>
                <w:color w:val="000000"/>
                <w:szCs w:val="21"/>
              </w:rPr>
              <w:t>触摸坐标在实际位置的1.0%以内(基于可视区域的尺寸)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11" w:type="dxa"/>
            <w:vAlign w:val="center"/>
          </w:tcPr>
          <w:p>
            <w:pPr>
              <w:rPr>
                <w:rFonts w:ascii="宋体" w:hAnsi="宋体" w:cs="宋体"/>
                <w:color w:val="000000"/>
                <w:szCs w:val="21"/>
              </w:rPr>
            </w:pPr>
            <w:r>
              <w:rPr>
                <w:rFonts w:hint="eastAsia" w:ascii="宋体" w:hAnsi="宋体" w:cs="宋体"/>
                <w:color w:val="000000"/>
                <w:szCs w:val="21"/>
              </w:rPr>
              <w:t>条码扫描模块</w:t>
            </w:r>
          </w:p>
        </w:tc>
        <w:tc>
          <w:tcPr>
            <w:tcW w:w="6417" w:type="dxa"/>
            <w:vAlign w:val="center"/>
          </w:tcPr>
          <w:p>
            <w:pPr>
              <w:rPr>
                <w:rFonts w:ascii="宋体" w:hAnsi="宋体" w:cs="宋体"/>
                <w:color w:val="000000"/>
                <w:szCs w:val="21"/>
              </w:rPr>
            </w:pPr>
            <w:r>
              <w:rPr>
                <w:rFonts w:hint="eastAsia" w:ascii="宋体" w:hAnsi="宋体" w:cs="宋体"/>
                <w:color w:val="000000"/>
                <w:szCs w:val="21"/>
              </w:rPr>
              <w:t>支持条码、二维码扫描</w:t>
            </w:r>
          </w:p>
          <w:p>
            <w:pPr>
              <w:rPr>
                <w:rFonts w:ascii="宋体" w:hAnsi="宋体" w:cs="宋体"/>
                <w:color w:val="000000"/>
                <w:szCs w:val="21"/>
              </w:rPr>
            </w:pPr>
            <w:r>
              <w:rPr>
                <w:rFonts w:hint="eastAsia" w:ascii="宋体" w:hAnsi="宋体" w:cs="宋体"/>
                <w:color w:val="000000"/>
                <w:szCs w:val="21"/>
              </w:rPr>
              <w:t>条码分辨率≤0.075mm</w:t>
            </w:r>
          </w:p>
          <w:p>
            <w:pPr>
              <w:rPr>
                <w:rFonts w:ascii="宋体" w:hAnsi="宋体" w:cs="宋体"/>
                <w:color w:val="000000"/>
                <w:szCs w:val="21"/>
              </w:rPr>
            </w:pPr>
            <w:r>
              <w:rPr>
                <w:rFonts w:hint="eastAsia" w:ascii="宋体" w:hAnsi="宋体" w:cs="宋体"/>
                <w:color w:val="000000"/>
                <w:szCs w:val="21"/>
              </w:rPr>
              <w:t>条码精度≥5mil</w:t>
            </w:r>
          </w:p>
          <w:p>
            <w:pPr>
              <w:rPr>
                <w:rFonts w:ascii="宋体" w:hAnsi="宋体" w:cs="宋体"/>
                <w:color w:val="000000"/>
                <w:szCs w:val="21"/>
              </w:rPr>
            </w:pPr>
            <w:r>
              <w:rPr>
                <w:rFonts w:hint="eastAsia" w:ascii="宋体" w:hAnsi="宋体" w:cs="宋体"/>
                <w:color w:val="000000"/>
                <w:szCs w:val="21"/>
              </w:rPr>
              <w:t>识读精深：40mm-235mm</w:t>
            </w:r>
          </w:p>
          <w:p>
            <w:pPr>
              <w:rPr>
                <w:rFonts w:ascii="宋体" w:hAnsi="宋体" w:cs="宋体"/>
                <w:color w:val="000000"/>
                <w:szCs w:val="21"/>
              </w:rPr>
            </w:pPr>
            <w:r>
              <w:rPr>
                <w:rFonts w:hint="eastAsia" w:ascii="宋体" w:hAnsi="宋体" w:cs="宋体"/>
                <w:color w:val="000000"/>
                <w:szCs w:val="21"/>
              </w:rPr>
              <w:t>通讯接口：RS232/UEB</w:t>
            </w:r>
          </w:p>
        </w:tc>
      </w:tr>
    </w:tbl>
    <w:p>
      <w:pPr>
        <w:rPr>
          <w:sz w:val="18"/>
        </w:rPr>
      </w:pPr>
    </w:p>
    <w:p>
      <w:pPr>
        <w:rPr>
          <w:sz w:val="18"/>
        </w:rPr>
      </w:pPr>
      <w:r>
        <w:rPr>
          <w:sz w:val="18"/>
        </w:rPr>
        <w:br w:type="page"/>
      </w:r>
    </w:p>
    <w:p>
      <w:pPr>
        <w:rPr>
          <w:sz w:val="18"/>
        </w:rPr>
      </w:pPr>
    </w:p>
    <w:tbl>
      <w:tblPr>
        <w:tblStyle w:val="5"/>
        <w:tblpPr w:leftFromText="180" w:rightFromText="180" w:vertAnchor="text" w:horzAnchor="page" w:tblpX="1732" w:tblpY="499"/>
        <w:tblOverlap w:val="never"/>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shd w:val="pct5" w:color="auto" w:fill="FFFFFF"/>
            <w:vAlign w:val="center"/>
          </w:tcPr>
          <w:p>
            <w:r>
              <w:rPr>
                <w:rFonts w:hint="eastAsia"/>
              </w:rPr>
              <w:t>产品名称</w:t>
            </w:r>
          </w:p>
        </w:tc>
        <w:tc>
          <w:tcPr>
            <w:tcW w:w="4104" w:type="pct"/>
            <w:shd w:val="pct5" w:color="auto" w:fill="FFFFFF"/>
            <w:vAlign w:val="center"/>
          </w:tcPr>
          <w:p>
            <w:r>
              <w:rPr>
                <w:rFonts w:hint="eastAsia"/>
              </w:rPr>
              <w:t>21.5寸壁挂智能一体机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结构类型</w:t>
            </w:r>
          </w:p>
        </w:tc>
        <w:tc>
          <w:tcPr>
            <w:tcW w:w="4104" w:type="pct"/>
            <w:vAlign w:val="center"/>
          </w:tcPr>
          <w:p>
            <w:r>
              <w:rPr>
                <w:rFonts w:hint="eastAsia"/>
              </w:rPr>
              <w:t>一体背光结构（优点：轻薄，美观）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外观尺寸</w:t>
            </w:r>
          </w:p>
        </w:tc>
        <w:tc>
          <w:tcPr>
            <w:tcW w:w="4104" w:type="pct"/>
            <w:vAlign w:val="center"/>
          </w:tcPr>
          <w:p>
            <w:r>
              <w:rPr>
                <w:rFonts w:hint="eastAsia"/>
              </w:rPr>
              <w:t>长:516.8mm，宽:313.5mm，总厚度:45mm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屏参数</w:t>
            </w:r>
          </w:p>
        </w:tc>
        <w:tc>
          <w:tcPr>
            <w:tcW w:w="4104"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分辨率</w:t>
            </w:r>
          </w:p>
        </w:tc>
        <w:tc>
          <w:tcPr>
            <w:tcW w:w="4104" w:type="pct"/>
            <w:vAlign w:val="center"/>
          </w:tcPr>
          <w:p>
            <w:r>
              <w:rPr>
                <w:rFonts w:hint="eastAsia"/>
              </w:rPr>
              <w:t>1080P   1920*1080（16：9）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色彩</w:t>
            </w:r>
          </w:p>
        </w:tc>
        <w:tc>
          <w:tcPr>
            <w:tcW w:w="4104" w:type="pct"/>
            <w:vAlign w:val="center"/>
          </w:tcPr>
          <w:p>
            <w:r>
              <w:rPr>
                <w:rFonts w:hint="eastAsia"/>
              </w:rPr>
              <w:t>16.7M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亮度</w:t>
            </w:r>
          </w:p>
        </w:tc>
        <w:tc>
          <w:tcPr>
            <w:tcW w:w="4104" w:type="pct"/>
            <w:vAlign w:val="center"/>
          </w:tcPr>
          <w:p>
            <w:r>
              <w:rPr>
                <w:rFonts w:hint="eastAsia"/>
              </w:rPr>
              <w:t>200cd/m2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对比度</w:t>
            </w:r>
          </w:p>
        </w:tc>
        <w:tc>
          <w:tcPr>
            <w:tcW w:w="4104" w:type="pct"/>
            <w:vAlign w:val="center"/>
          </w:tcPr>
          <w:p>
            <w:r>
              <w:rPr>
                <w:rFonts w:hint="eastAsia"/>
              </w:rPr>
              <w:t>1200：1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响应时间</w:t>
            </w:r>
          </w:p>
        </w:tc>
        <w:tc>
          <w:tcPr>
            <w:tcW w:w="4104" w:type="pct"/>
            <w:vAlign w:val="center"/>
          </w:tcPr>
          <w:p>
            <w:r>
              <w:rPr>
                <w:rFonts w:hint="eastAsia"/>
              </w:rPr>
              <w:t>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接口</w:t>
            </w:r>
          </w:p>
        </w:tc>
        <w:tc>
          <w:tcPr>
            <w:tcW w:w="4104"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输入</w:t>
            </w:r>
          </w:p>
        </w:tc>
        <w:tc>
          <w:tcPr>
            <w:tcW w:w="4104" w:type="pct"/>
            <w:vAlign w:val="center"/>
          </w:tcPr>
          <w:p>
            <w:r>
              <w:rPr>
                <w:rFonts w:hint="eastAsia"/>
              </w:rPr>
              <w:t>USB2.0*2，TF2.0*1，RJ45*1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主板规格</w:t>
            </w:r>
          </w:p>
        </w:tc>
        <w:tc>
          <w:tcPr>
            <w:tcW w:w="4104"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CPU</w:t>
            </w:r>
          </w:p>
        </w:tc>
        <w:tc>
          <w:tcPr>
            <w:tcW w:w="4104" w:type="pct"/>
            <w:vAlign w:val="center"/>
          </w:tcPr>
          <w:p>
            <w:r>
              <w:rPr>
                <w:rFonts w:hint="eastAsia"/>
              </w:rPr>
              <w:t>不低于全志 A83T，Cortex-A7 架构，八核，主频 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内存</w:t>
            </w:r>
          </w:p>
        </w:tc>
        <w:tc>
          <w:tcPr>
            <w:tcW w:w="4104" w:type="pct"/>
            <w:vAlign w:val="center"/>
          </w:tcPr>
          <w:p>
            <w:r>
              <w:rPr>
                <w:rFonts w:hint="eastAsia"/>
              </w:rPr>
              <w:t>不低于1GB DDR3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内置存储器</w:t>
            </w:r>
          </w:p>
        </w:tc>
        <w:tc>
          <w:tcPr>
            <w:tcW w:w="4104" w:type="pct"/>
            <w:vAlign w:val="center"/>
          </w:tcPr>
          <w:p>
            <w:r>
              <w:rPr>
                <w:rFonts w:hint="eastAsia"/>
              </w:rPr>
              <w:t>不低于16GB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解码分辨率</w:t>
            </w:r>
          </w:p>
        </w:tc>
        <w:tc>
          <w:tcPr>
            <w:tcW w:w="4104" w:type="pct"/>
            <w:vAlign w:val="center"/>
          </w:tcPr>
          <w:p>
            <w:r>
              <w:rPr>
                <w:rFonts w:hint="eastAsia"/>
              </w:rPr>
              <w:t>最高支持1080P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96" w:type="pct"/>
            <w:vAlign w:val="center"/>
          </w:tcPr>
          <w:p>
            <w:r>
              <w:rPr>
                <w:rFonts w:hint="eastAsia"/>
              </w:rPr>
              <w:t>操作系统</w:t>
            </w:r>
          </w:p>
        </w:tc>
        <w:tc>
          <w:tcPr>
            <w:tcW w:w="4104" w:type="pct"/>
            <w:vAlign w:val="center"/>
          </w:tcPr>
          <w:p>
            <w:r>
              <w:rPr>
                <w:rFonts w:hint="eastAsia"/>
              </w:rPr>
              <w:t>Android 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LVDS输出</w:t>
            </w:r>
          </w:p>
        </w:tc>
        <w:tc>
          <w:tcPr>
            <w:tcW w:w="4104" w:type="pct"/>
            <w:vAlign w:val="center"/>
          </w:tcPr>
          <w:p>
            <w:r>
              <w:rPr>
                <w:rFonts w:hint="eastAsia"/>
              </w:rPr>
              <w:t>可直接驱动50/60Hz液晶屏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WIFI</w:t>
            </w:r>
          </w:p>
        </w:tc>
        <w:tc>
          <w:tcPr>
            <w:tcW w:w="4104" w:type="pct"/>
            <w:vAlign w:val="center"/>
          </w:tcPr>
          <w:p>
            <w:r>
              <w:rPr>
                <w:rFonts w:hint="eastAsia"/>
              </w:rPr>
              <w:t>内置WIFI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以太网</w:t>
            </w:r>
          </w:p>
        </w:tc>
        <w:tc>
          <w:tcPr>
            <w:tcW w:w="4104" w:type="pct"/>
            <w:vAlign w:val="center"/>
          </w:tcPr>
          <w:p>
            <w:r>
              <w:rPr>
                <w:rFonts w:hint="eastAsia"/>
              </w:rPr>
              <w:t>1个，10M/100M自适应以太网, RJ-45接口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功放喇叭</w:t>
            </w:r>
          </w:p>
        </w:tc>
        <w:tc>
          <w:tcPr>
            <w:tcW w:w="4104" w:type="pct"/>
            <w:vAlign w:val="center"/>
          </w:tcPr>
          <w:p>
            <w:r>
              <w:rPr>
                <w:rFonts w:hint="eastAsia"/>
              </w:rPr>
              <w:t>8Ohm 5W*2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电气规格</w:t>
            </w:r>
          </w:p>
        </w:tc>
        <w:tc>
          <w:tcPr>
            <w:tcW w:w="4104" w:type="pc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电源输入</w:t>
            </w:r>
          </w:p>
        </w:tc>
        <w:tc>
          <w:tcPr>
            <w:tcW w:w="4104" w:type="pct"/>
            <w:vAlign w:val="center"/>
          </w:tcPr>
          <w:p>
            <w:r>
              <w:rPr>
                <w:rFonts w:hint="eastAsia"/>
              </w:rPr>
              <w:t>AC 100~240V 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整机功率</w:t>
            </w:r>
          </w:p>
        </w:tc>
        <w:tc>
          <w:tcPr>
            <w:tcW w:w="4104" w:type="pct"/>
            <w:vAlign w:val="center"/>
          </w:tcPr>
          <w:p>
            <w:r>
              <w:rPr>
                <w:rFonts w:hint="eastAsia"/>
              </w:rPr>
              <w:t>≦30W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待机功耗</w:t>
            </w:r>
          </w:p>
        </w:tc>
        <w:tc>
          <w:tcPr>
            <w:tcW w:w="4104" w:type="pct"/>
            <w:vAlign w:val="center"/>
          </w:tcPr>
          <w:p>
            <w:r>
              <w:rPr>
                <w:rFonts w:hint="eastAsia"/>
              </w:rPr>
              <w:t>≦1W</w:t>
            </w:r>
          </w:p>
        </w:tc>
      </w:tr>
    </w:tbl>
    <w:p/>
    <w:p>
      <w:pPr>
        <w:rPr>
          <w:bCs/>
          <w:sz w:val="30"/>
          <w:szCs w:val="30"/>
        </w:rPr>
      </w:pPr>
      <w:r>
        <w:rPr>
          <w:bCs/>
          <w:sz w:val="30"/>
          <w:szCs w:val="30"/>
        </w:rPr>
        <w:br w:type="page"/>
      </w:r>
    </w:p>
    <w:tbl>
      <w:tblPr>
        <w:tblStyle w:val="5"/>
        <w:tblpPr w:leftFromText="180" w:rightFromText="180" w:vertAnchor="text" w:horzAnchor="page" w:tblpX="1732" w:tblpY="499"/>
        <w:tblOverlap w:val="never"/>
        <w:tblW w:w="49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数字机顶盒</w:t>
            </w:r>
          </w:p>
        </w:tc>
        <w:tc>
          <w:tcPr>
            <w:tcW w:w="4103" w:type="pct"/>
            <w:vAlign w:val="center"/>
          </w:tcPr>
          <w:p>
            <w:pPr>
              <w:pStyle w:val="7"/>
              <w:jc w:val="left"/>
            </w:pPr>
            <w:r>
              <w:rPr>
                <w:rFonts w:hint="eastAsia" w:ascii="Tahoma" w:hAnsi="Tahoma" w:eastAsia="微软雅黑"/>
                <w:kern w:val="0"/>
                <w:sz w:val="22"/>
                <w:szCs w:val="22"/>
              </w:rPr>
              <w:t>双核1GHz  内存 1G DDR3  最高支持1080P  支持Android 4.2.4以上</w:t>
            </w:r>
            <w:r>
              <w:rPr>
                <w:rFonts w:hint="eastAsia" w:ascii="Tahoma" w:hAnsi="Tahoma" w:eastAsia="微软雅黑"/>
                <w:kern w:val="0"/>
                <w:sz w:val="22"/>
                <w:szCs w:val="22"/>
              </w:rPr>
              <w:br w:type="textWrapping"/>
            </w:r>
            <w:r>
              <w:rPr>
                <w:rFonts w:hint="eastAsia" w:ascii="Tahoma" w:hAnsi="Tahoma" w:eastAsia="微软雅黑"/>
                <w:kern w:val="0"/>
                <w:sz w:val="22"/>
                <w:szCs w:val="22"/>
              </w:rPr>
              <w:t>支持循环、定时、插播等多种播放模式  支持以太网，支持WiFi、无线外设扩展  支持USB/T卡/网络升级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r>
              <w:rPr>
                <w:rFonts w:hint="eastAsia"/>
              </w:rPr>
              <w:t>50寸电视机</w:t>
            </w:r>
          </w:p>
        </w:tc>
        <w:tc>
          <w:tcPr>
            <w:tcW w:w="4103" w:type="pct"/>
            <w:vAlign w:val="center"/>
          </w:tcPr>
          <w:p>
            <w:r>
              <w:rPr>
                <w:rFonts w:hint="eastAsia"/>
              </w:rPr>
              <w:t>智能电视屏幕尺寸：50（英寸）屏幕比例：16:9分辨率：全高清(1920×1080)水平视角：178（度）垂直视角：178度（度）背光类型：LED电视功能接收制式：PAL（D/K,I,B/G）/NTSC（M）附件：底座、遥控器、3D眼镜、3合1转接线、天线隔离器、锂电池（超级遥控器专用）、USB线（超级遥控器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pPr>
              <w:pStyle w:val="7"/>
              <w:jc w:val="center"/>
              <w:rPr>
                <w:rFonts w:ascii="Tahoma" w:hAnsi="Tahoma" w:eastAsia="微软雅黑"/>
                <w:kern w:val="0"/>
                <w:sz w:val="22"/>
                <w:szCs w:val="22"/>
              </w:rPr>
            </w:pPr>
            <w:r>
              <w:rPr>
                <w:rFonts w:hint="eastAsia" w:ascii="Tahoma" w:hAnsi="Tahoma" w:eastAsia="微软雅黑"/>
                <w:kern w:val="0"/>
                <w:sz w:val="22"/>
                <w:szCs w:val="22"/>
              </w:rPr>
              <w:t>分诊系统软件</w:t>
            </w:r>
          </w:p>
        </w:tc>
        <w:tc>
          <w:tcPr>
            <w:tcW w:w="4103" w:type="pct"/>
            <w:vAlign w:val="center"/>
          </w:tcPr>
          <w:p>
            <w:pPr>
              <w:pStyle w:val="7"/>
              <w:jc w:val="left"/>
              <w:rPr>
                <w:rFonts w:ascii="Tahoma" w:hAnsi="Tahoma" w:eastAsia="微软雅黑"/>
                <w:kern w:val="0"/>
                <w:sz w:val="22"/>
                <w:szCs w:val="22"/>
              </w:rPr>
            </w:pPr>
            <w:r>
              <w:rPr>
                <w:rFonts w:hint="eastAsia" w:ascii="Tahoma" w:hAnsi="Tahoma" w:eastAsia="微软雅黑"/>
                <w:kern w:val="0"/>
                <w:sz w:val="22"/>
                <w:szCs w:val="22"/>
              </w:rPr>
              <w:t>三层架构  采用TCP/IP通信协议开发，系统控制采用软件方式控制实现（包括队列控制和叫号显示控制）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6" w:type="pct"/>
            <w:vAlign w:val="center"/>
          </w:tcPr>
          <w:p>
            <w:pPr>
              <w:pStyle w:val="7"/>
              <w:jc w:val="center"/>
              <w:rPr>
                <w:rFonts w:ascii="Tahoma" w:hAnsi="Tahoma" w:eastAsia="微软雅黑"/>
                <w:kern w:val="0"/>
                <w:sz w:val="22"/>
                <w:szCs w:val="22"/>
              </w:rPr>
            </w:pPr>
            <w:r>
              <w:rPr>
                <w:rFonts w:hint="eastAsia" w:ascii="Tahoma" w:hAnsi="Tahoma" w:eastAsia="微软雅黑"/>
                <w:kern w:val="0"/>
                <w:sz w:val="22"/>
                <w:szCs w:val="22"/>
              </w:rPr>
              <w:t>功放</w:t>
            </w:r>
          </w:p>
        </w:tc>
        <w:tc>
          <w:tcPr>
            <w:tcW w:w="4103" w:type="pct"/>
            <w:vAlign w:val="center"/>
          </w:tcPr>
          <w:p>
            <w:pPr>
              <w:pStyle w:val="7"/>
              <w:jc w:val="left"/>
              <w:rPr>
                <w:rFonts w:ascii="Tahoma" w:hAnsi="Tahoma" w:eastAsia="微软雅黑"/>
                <w:kern w:val="0"/>
                <w:sz w:val="22"/>
                <w:szCs w:val="22"/>
              </w:rPr>
            </w:pPr>
            <w:r>
              <w:rPr>
                <w:rFonts w:hint="eastAsia" w:ascii="Tahoma" w:hAnsi="Tahoma" w:eastAsia="微软雅黑"/>
                <w:kern w:val="0"/>
                <w:sz w:val="22"/>
                <w:szCs w:val="22"/>
              </w:rPr>
              <w:t>负载阻抗:4--8欧输出功率:25W+25W 峰值功</w:t>
            </w:r>
          </w:p>
        </w:tc>
      </w:tr>
    </w:tbl>
    <w:p/>
    <w:p>
      <w:pPr>
        <w:pStyle w:val="2"/>
      </w:pPr>
    </w:p>
    <w:p/>
    <w:p>
      <w:pPr>
        <w:pStyle w:val="2"/>
      </w:pPr>
    </w:p>
    <w:p/>
    <w:p>
      <w:pPr>
        <w:pStyle w:val="2"/>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5A1D93"/>
    <w:rsid w:val="004B1A8C"/>
    <w:rsid w:val="005A1D93"/>
    <w:rsid w:val="10AA28C5"/>
    <w:rsid w:val="70075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1"/>
    <w:semiHidden/>
    <w:unhideWhenUsed/>
    <w:qFormat/>
    <w:uiPriority w:val="99"/>
    <w:rPr>
      <w:rFonts w:ascii="宋体" w:hAnsi="Courier New" w:cs="Courier New"/>
      <w:szCs w:val="21"/>
    </w:rPr>
  </w:style>
  <w:style w:type="paragraph" w:styleId="4">
    <w:name w:val="Date"/>
    <w:basedOn w:val="1"/>
    <w:next w:val="1"/>
    <w:semiHidden/>
    <w:unhideWhenUsed/>
    <w:qFormat/>
    <w:uiPriority w:val="0"/>
    <w:pPr>
      <w:ind w:left="100" w:leftChars="2500"/>
    </w:pPr>
    <w:rPr>
      <w:rFonts w:ascii="宋体" w:hAnsi="Courier New" w:cs="Courier New"/>
      <w:szCs w:val="21"/>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4380</Words>
  <Characters>4894</Characters>
  <Lines>38</Lines>
  <Paragraphs>10</Paragraphs>
  <TotalTime>7</TotalTime>
  <ScaleCrop>false</ScaleCrop>
  <LinksUpToDate>false</LinksUpToDate>
  <CharactersWithSpaces>4957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2024-06-06T07:12:00Z</dcterms:created>
  <dc:creator>Administrator</dc:creator>
  <cp:lastModifiedBy>Administrator</cp:lastModifiedBy>
  <dcterms:modified xsi:type="dcterms:W3CDTF">2024-06-19T02:03:22Z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78668F384D61461E8F86483D6B1AB06D_13</vt:lpwstr>
  </property>
</Properties>
</file>