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3"/>
        <w:tabs>
          <w:tab w:val="left" w:pos="2520"/>
        </w:tabs>
        <w:spacing w:line="500" w:lineRule="exact"/>
        <w:rPr>
          <w:rFonts w:hAnsi="宋体" w:cs="宋体"/>
          <w:sz w:val="28"/>
          <w:szCs w:val="28"/>
        </w:rPr>
      </w:pPr>
    </w:p>
    <w:p>
      <w:pPr>
        <w:pStyle w:val="3"/>
        <w:tabs>
          <w:tab w:val="left" w:pos="2520"/>
        </w:tabs>
        <w:spacing w:line="500" w:lineRule="exact"/>
        <w:jc w:val="center"/>
        <w:rPr>
          <w:rFonts w:hAnsi="宋体" w:cs="宋体"/>
          <w:spacing w:val="14"/>
          <w:sz w:val="48"/>
          <w:szCs w:val="48"/>
        </w:rPr>
      </w:pPr>
    </w:p>
    <w:p>
      <w:pPr>
        <w:pStyle w:val="3"/>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3"/>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20" w:lineRule="exact"/>
        <w:ind w:left="3243" w:leftChars="684" w:hanging="1807" w:hangingChars="500"/>
        <w:rPr>
          <w:rFonts w:hint="eastAsia" w:ascii="宋体" w:hAnsi="宋体" w:eastAsia="宋体" w:cs="宋体"/>
          <w:b/>
          <w:sz w:val="36"/>
          <w:szCs w:val="36"/>
        </w:rPr>
      </w:pPr>
      <w:r>
        <w:rPr>
          <w:rFonts w:hint="eastAsia" w:ascii="宋体" w:hAnsi="宋体" w:cs="宋体"/>
          <w:b/>
          <w:sz w:val="36"/>
          <w:szCs w:val="36"/>
        </w:rPr>
        <w:t>项目名称：</w:t>
      </w:r>
      <w:r>
        <w:rPr>
          <w:rFonts w:hint="eastAsia" w:ascii="宋体" w:hAnsi="宋体" w:eastAsia="宋体" w:cs="宋体"/>
          <w:b/>
          <w:sz w:val="36"/>
          <w:szCs w:val="36"/>
          <w:lang w:val="en-US" w:eastAsia="zh-CN"/>
        </w:rPr>
        <w:t>黄石市中心医院（黄金山院区）液电碎石仪采购项目</w:t>
      </w: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3"/>
        <w:tabs>
          <w:tab w:val="left" w:pos="2520"/>
        </w:tabs>
        <w:spacing w:line="500" w:lineRule="exact"/>
        <w:jc w:val="center"/>
        <w:rPr>
          <w:rFonts w:hAnsi="宋体" w:cs="宋体"/>
          <w:sz w:val="36"/>
          <w:szCs w:val="36"/>
        </w:rPr>
      </w:pPr>
    </w:p>
    <w:p>
      <w:pPr>
        <w:pStyle w:val="3"/>
        <w:tabs>
          <w:tab w:val="left" w:pos="2520"/>
        </w:tabs>
        <w:spacing w:line="500" w:lineRule="exact"/>
        <w:jc w:val="center"/>
        <w:rPr>
          <w:rFonts w:hAnsi="宋体" w:cs="宋体"/>
          <w:sz w:val="72"/>
          <w:szCs w:val="72"/>
        </w:rPr>
      </w:pP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二〇二三年</w:t>
      </w:r>
      <w:r>
        <w:rPr>
          <w:rFonts w:hint="eastAsia" w:ascii="宋体" w:hAnsi="宋体"/>
          <w:b/>
          <w:bCs/>
          <w:sz w:val="36"/>
          <w:szCs w:val="36"/>
          <w:lang w:val="en-US" w:eastAsia="zh-CN"/>
        </w:rPr>
        <w:t>七</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2"/>
        <w:rPr>
          <w:rFonts w:ascii="宋体" w:hAnsi="宋体" w:cs="宋体"/>
        </w:rPr>
      </w:pPr>
      <w:bookmarkStart w:id="0" w:name="_Toc528493130"/>
      <w:bookmarkStart w:id="1" w:name="_Toc528493563"/>
      <w:bookmarkStart w:id="2" w:name="_Toc528493163"/>
      <w:bookmarkStart w:id="3" w:name="_Toc528494262"/>
      <w:bookmarkStart w:id="4" w:name="_Toc52849308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791"/>
      <w:bookmarkStart w:id="6" w:name="_Toc35393622"/>
      <w:bookmarkStart w:id="7" w:name="_Toc28359080"/>
      <w:bookmarkStart w:id="8" w:name="_Toc28359003"/>
      <w:r>
        <w:rPr>
          <w:rFonts w:hint="eastAsia" w:ascii="宋体" w:hAnsi="宋体" w:cs="宋体"/>
          <w:sz w:val="24"/>
          <w:lang w:val="zh-CN"/>
        </w:rPr>
        <w:t>根据黄石市中心医院的需求，就</w:t>
      </w:r>
      <w:r>
        <w:rPr>
          <w:rFonts w:hint="eastAsia" w:ascii="宋体" w:hAnsi="宋体" w:cs="宋体"/>
          <w:sz w:val="24"/>
          <w:lang w:val="en-US" w:eastAsia="zh-CN"/>
        </w:rPr>
        <w:t>黄石市中心医院（黄金山院区）</w:t>
      </w:r>
      <w:r>
        <w:rPr>
          <w:rFonts w:hint="eastAsia" w:ascii="宋体" w:hAnsi="宋体" w:eastAsia="宋体" w:cs="宋体"/>
          <w:sz w:val="24"/>
          <w:lang w:val="en-US" w:eastAsia="zh-CN"/>
        </w:rPr>
        <w:t>液电碎石仪采购项目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bookmarkEnd w:id="5"/>
    <w:bookmarkEnd w:id="6"/>
    <w:bookmarkEnd w:id="7"/>
    <w:bookmarkEnd w:id="8"/>
    <w:p>
      <w:pPr>
        <w:spacing w:line="420" w:lineRule="exact"/>
        <w:ind w:firstLine="480" w:firstLineChars="200"/>
        <w:rPr>
          <w:rFonts w:hint="eastAsia" w:ascii="宋体" w:hAnsi="宋体" w:eastAsia="宋体" w:cs="宋体"/>
          <w:sz w:val="24"/>
          <w:lang w:val="en-US" w:eastAsia="zh-CN"/>
        </w:rPr>
      </w:pPr>
      <w:bookmarkStart w:id="9" w:name="_Toc35393623"/>
      <w:bookmarkStart w:id="10" w:name="_Toc28359081"/>
      <w:bookmarkStart w:id="11" w:name="_Toc35393792"/>
      <w:bookmarkStart w:id="12" w:name="_Toc28359004"/>
      <w:r>
        <w:rPr>
          <w:rFonts w:ascii="宋体" w:hAnsi="宋体" w:cs="宋体"/>
          <w:sz w:val="24"/>
        </w:rPr>
        <w:t>1.</w:t>
      </w:r>
      <w:r>
        <w:rPr>
          <w:rFonts w:hint="eastAsia" w:ascii="宋体" w:hAnsi="宋体" w:cs="宋体"/>
          <w:sz w:val="24"/>
        </w:rPr>
        <w:t>项目名称：</w:t>
      </w:r>
      <w:r>
        <w:rPr>
          <w:rFonts w:hint="eastAsia" w:ascii="宋体" w:hAnsi="宋体" w:cs="宋体"/>
          <w:sz w:val="24"/>
          <w:lang w:val="en-US" w:eastAsia="zh-CN"/>
        </w:rPr>
        <w:t>黄石市中心医院（黄金山院区）液电碎石仪采购</w:t>
      </w:r>
      <w:r>
        <w:rPr>
          <w:rFonts w:hint="eastAsia" w:ascii="宋体" w:hAnsi="宋体" w:eastAsia="宋体" w:cs="宋体"/>
          <w:sz w:val="24"/>
          <w:lang w:val="en-US" w:eastAsia="zh-CN"/>
        </w:rPr>
        <w:t>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eastAsia="宋体" w:cs="宋体"/>
          <w:sz w:val="24"/>
        </w:rPr>
        <w:t>：</w:t>
      </w:r>
      <w:r>
        <w:rPr>
          <w:rFonts w:hint="eastAsia" w:ascii="宋体" w:hAnsi="宋体" w:cs="宋体"/>
          <w:sz w:val="24"/>
          <w:lang w:val="en-US" w:eastAsia="zh-CN"/>
        </w:rPr>
        <w:t>15</w:t>
      </w:r>
      <w:r>
        <w:rPr>
          <w:rFonts w:hint="eastAsia" w:ascii="宋体" w:hAnsi="宋体" w:eastAsia="宋体" w:cs="宋体"/>
          <w:sz w:val="24"/>
        </w:rPr>
        <w:t>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.采购数量：一台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28359084"/>
      <w:bookmarkStart w:id="14" w:name="_Toc35393625"/>
      <w:bookmarkStart w:id="15" w:name="_Toc28359007"/>
      <w:bookmarkStart w:id="16" w:name="_Toc35393794"/>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lang w:val="en-US" w:eastAsia="zh-CN"/>
        </w:rPr>
        <w:t>3</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7</w:t>
      </w:r>
      <w:r>
        <w:rPr>
          <w:rFonts w:hint="eastAsia" w:ascii="宋体" w:hAnsi="宋体" w:cs="宋体"/>
          <w:sz w:val="24"/>
        </w:rPr>
        <w:t xml:space="preserve"> </w:t>
      </w:r>
      <w:r>
        <w:rPr>
          <w:rFonts w:ascii="宋体" w:hAnsi="宋体" w:cs="宋体"/>
          <w:sz w:val="24"/>
        </w:rPr>
        <w:t>月</w:t>
      </w:r>
      <w:r>
        <w:rPr>
          <w:rFonts w:hint="eastAsia" w:ascii="宋体" w:hAnsi="宋体" w:cs="宋体"/>
          <w:sz w:val="24"/>
        </w:rPr>
        <w:t xml:space="preserve"> </w:t>
      </w:r>
      <w:r>
        <w:rPr>
          <w:rFonts w:hint="eastAsia" w:ascii="宋体" w:hAnsi="宋体" w:cs="宋体"/>
          <w:sz w:val="24"/>
          <w:lang w:val="en-US" w:eastAsia="zh-CN"/>
        </w:rPr>
        <w:t>5</w:t>
      </w:r>
      <w:r>
        <w:rPr>
          <w:rFonts w:ascii="宋体" w:hAnsi="宋体" w:cs="宋体"/>
          <w:sz w:val="24"/>
        </w:rPr>
        <w:t>日</w:t>
      </w:r>
      <w:r>
        <w:rPr>
          <w:rFonts w:hint="eastAsia" w:ascii="宋体" w:hAnsi="宋体" w:cs="宋体"/>
          <w:sz w:val="24"/>
        </w:rPr>
        <w:t>-</w:t>
      </w:r>
      <w:r>
        <w:rPr>
          <w:rFonts w:ascii="宋体" w:hAnsi="宋体" w:cs="宋体"/>
          <w:sz w:val="24"/>
        </w:rPr>
        <w:t>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 xml:space="preserve"> 月  </w:t>
      </w:r>
      <w:r>
        <w:rPr>
          <w:rFonts w:hint="eastAsia" w:ascii="宋体" w:hAnsi="宋体" w:cs="宋体"/>
          <w:sz w:val="24"/>
          <w:lang w:val="en-US" w:eastAsia="zh-CN"/>
        </w:rPr>
        <w:t>12</w:t>
      </w:r>
      <w:bookmarkStart w:id="43" w:name="_GoBack"/>
      <w:bookmarkEnd w:id="43"/>
      <w:r>
        <w:rPr>
          <w:rFonts w:hint="eastAsia" w:ascii="宋体" w:hAnsi="宋体" w:cs="宋体"/>
          <w:sz w:val="24"/>
        </w:rPr>
        <w:t>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164"/>
      <w:bookmarkStart w:id="18" w:name="_Toc528493131"/>
      <w:bookmarkStart w:id="19" w:name="_Toc528493576"/>
      <w:bookmarkStart w:id="20" w:name="_Toc528493083"/>
      <w:bookmarkStart w:id="21" w:name="_Toc528494275"/>
    </w:p>
    <w:p>
      <w:pPr>
        <w:snapToGrid w:val="0"/>
        <w:spacing w:line="420" w:lineRule="exact"/>
        <w:ind w:firstLine="504" w:firstLineChars="210"/>
        <w:rPr>
          <w:rFonts w:ascii="宋体" w:hAnsi="宋体" w:cs="宋体"/>
          <w:sz w:val="24"/>
        </w:rPr>
      </w:pPr>
      <w:r>
        <w:rPr>
          <w:rFonts w:hint="eastAsia" w:ascii="宋体" w:hAnsi="宋体" w:cs="宋体"/>
          <w:sz w:val="24"/>
        </w:rPr>
        <w:t>4、开标时间：另行通知</w:t>
      </w:r>
    </w:p>
    <w:p>
      <w:pPr>
        <w:spacing w:line="420" w:lineRule="exact"/>
        <w:ind w:firstLine="420" w:firstLineChars="200"/>
        <w:rPr>
          <w:rFonts w:ascii="宋体" w:hAnsi="宋体" w:cs="宋体"/>
        </w:rPr>
      </w:pPr>
    </w:p>
    <w:p>
      <w:pPr>
        <w:pStyle w:val="2"/>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3"/>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3"/>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pPr>
        <w:pStyle w:val="3"/>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3"/>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pPr>
        <w:pStyle w:val="3"/>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3"/>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3"/>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3"/>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0"/>
          <w:rFonts w:ascii="宋体" w:hAnsi="宋体" w:cs="宋体"/>
          <w:sz w:val="24"/>
          <w:szCs w:val="24"/>
        </w:rPr>
      </w:pPr>
      <w:bookmarkStart w:id="25" w:name="_Toc528493084"/>
      <w:bookmarkStart w:id="26" w:name="_Toc528493165"/>
      <w:bookmarkStart w:id="27" w:name="_Toc528493577"/>
      <w:bookmarkStart w:id="28" w:name="_Toc528493132"/>
      <w:bookmarkStart w:id="29" w:name="_Toc528494280"/>
      <w:r>
        <w:rPr>
          <w:rStyle w:val="10"/>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3"/>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3"/>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5"/>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7"/>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7"/>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7"/>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7"/>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提供近两年（2020年1月1日至今）类似中标产品用户使用情况和售后服务评价（必须加盖用户公章并提供用户有效的联系方式）的一项得1分。最多得4分，没有提供或有不良反映的不得分。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3"/>
        <w:rPr>
          <w:rFonts w:hAnsi="宋体"/>
          <w:sz w:val="24"/>
          <w:szCs w:val="24"/>
        </w:rPr>
      </w:pPr>
      <w:bookmarkStart w:id="32" w:name="_Toc528493086"/>
      <w:bookmarkStart w:id="33" w:name="_Toc528493579"/>
      <w:bookmarkStart w:id="34" w:name="_Toc528493134"/>
      <w:bookmarkStart w:id="35" w:name="_Toc528494285"/>
      <w:bookmarkStart w:id="36" w:name="_Toc528493167"/>
    </w:p>
    <w:p>
      <w:pPr>
        <w:pStyle w:val="2"/>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eastAsia" w:ascii="宋体" w:hAnsi="宋体" w:eastAsia="宋体" w:cs="宋体"/>
          <w:sz w:val="24"/>
          <w:lang w:val="en-US" w:eastAsia="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en-US" w:eastAsia="zh-CN"/>
        </w:rPr>
        <w:t>黄石市中心医院（黄金山院区）液电碎石仪采购</w:t>
      </w:r>
      <w:r>
        <w:rPr>
          <w:rFonts w:hint="eastAsia" w:ascii="宋体" w:hAnsi="宋体" w:eastAsia="宋体" w:cs="宋体"/>
          <w:sz w:val="24"/>
          <w:lang w:val="en-US" w:eastAsia="zh-CN"/>
        </w:rPr>
        <w:t>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eastAsia="宋体" w:cs="宋体"/>
          <w:sz w:val="24"/>
        </w:rPr>
        <w:t>：</w:t>
      </w:r>
      <w:r>
        <w:rPr>
          <w:rFonts w:hint="eastAsia" w:ascii="宋体" w:hAnsi="宋体" w:cs="宋体"/>
          <w:sz w:val="24"/>
          <w:lang w:val="en-US" w:eastAsia="zh-CN"/>
        </w:rPr>
        <w:t>15</w:t>
      </w:r>
      <w:r>
        <w:rPr>
          <w:rFonts w:hint="eastAsia" w:ascii="宋体" w:hAnsi="宋体" w:eastAsia="宋体" w:cs="宋体"/>
          <w:sz w:val="24"/>
        </w:rPr>
        <w:t>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.采购数量：一台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bookmarkStart w:id="37" w:name="_Toc528493168"/>
      <w:bookmarkStart w:id="38" w:name="_Toc528494286"/>
      <w:bookmarkStart w:id="39" w:name="_Toc528493087"/>
      <w:bookmarkStart w:id="40" w:name="_Hlk18936003"/>
      <w:bookmarkStart w:id="41" w:name="_Toc528493580"/>
      <w:bookmarkStart w:id="42" w:name="_Toc528493135"/>
    </w:p>
    <w:p>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numPr>
          <w:ilvl w:val="0"/>
          <w:numId w:val="2"/>
        </w:numPr>
        <w:spacing w:line="360" w:lineRule="auto"/>
        <w:rPr>
          <w:rFonts w:hint="default" w:ascii="宋体" w:hAnsi="宋体" w:eastAsia="宋体" w:cs="宋体"/>
          <w:b w:val="0"/>
          <w:bCs w:val="0"/>
          <w:sz w:val="21"/>
          <w:szCs w:val="21"/>
          <w:lang w:eastAsia="zh-CN"/>
        </w:rPr>
      </w:pPr>
      <w:r>
        <w:rPr>
          <w:rFonts w:hint="default" w:ascii="宋体" w:hAnsi="宋体" w:eastAsia="宋体" w:cs="宋体"/>
          <w:b w:val="0"/>
          <w:bCs w:val="0"/>
          <w:sz w:val="21"/>
          <w:szCs w:val="21"/>
          <w:lang w:eastAsia="zh-CN"/>
        </w:rPr>
        <w:t>本设备用于配合胆道镜工作通道进行碎石，用于肝内胆管结石、胆总管巨大嵌顿结石及术后残余结石的碎石取石</w:t>
      </w:r>
      <w:r>
        <w:rPr>
          <w:rFonts w:hint="eastAsia" w:ascii="宋体" w:hAnsi="宋体" w:eastAsia="宋体" w:cs="宋体"/>
          <w:b w:val="0"/>
          <w:bCs w:val="0"/>
          <w:sz w:val="21"/>
          <w:szCs w:val="21"/>
          <w:lang w:eastAsia="zh-CN"/>
        </w:rPr>
        <w:t>。</w:t>
      </w:r>
    </w:p>
    <w:p>
      <w:pPr>
        <w:numPr>
          <w:ilvl w:val="0"/>
          <w:numId w:val="2"/>
        </w:numPr>
        <w:spacing w:line="360" w:lineRule="auto"/>
        <w:rPr>
          <w:rFonts w:ascii="宋体" w:hAnsi="宋体" w:eastAsia="宋体" w:cs="宋体"/>
          <w:b w:val="0"/>
          <w:bCs w:val="0"/>
          <w:sz w:val="21"/>
          <w:szCs w:val="21"/>
        </w:rPr>
      </w:pPr>
      <w:r>
        <w:rPr>
          <w:rFonts w:hint="eastAsia" w:ascii="宋体" w:hAnsi="宋体" w:eastAsia="宋体" w:cs="宋体"/>
          <w:b w:val="0"/>
          <w:bCs w:val="0"/>
          <w:sz w:val="21"/>
          <w:szCs w:val="21"/>
          <w:lang w:val="en-US" w:eastAsia="zh-CN"/>
        </w:rPr>
        <w:t>★碎石原理：采用液电下冲击波产生的空化微爆破高能量密度效应。</w:t>
      </w:r>
    </w:p>
    <w:p>
      <w:pPr>
        <w:numPr>
          <w:ilvl w:val="0"/>
          <w:numId w:val="2"/>
        </w:numPr>
        <w:ind w:left="0" w:leftChars="0" w:firstLine="0" w:firstLineChars="0"/>
        <w:rPr>
          <w:rFonts w:hint="eastAsia"/>
          <w:sz w:val="21"/>
          <w:szCs w:val="21"/>
        </w:rPr>
      </w:pPr>
      <w:r>
        <w:rPr>
          <w:rFonts w:hint="eastAsia" w:ascii="宋体" w:hAnsi="宋体" w:eastAsia="宋体" w:cs="宋体"/>
          <w:b w:val="0"/>
          <w:bCs w:val="0"/>
          <w:sz w:val="21"/>
          <w:szCs w:val="21"/>
          <w:lang w:val="en-US" w:eastAsia="zh-CN"/>
        </w:rPr>
        <w:t>★</w:t>
      </w:r>
      <w:r>
        <w:rPr>
          <w:rFonts w:hint="eastAsia"/>
          <w:sz w:val="21"/>
          <w:szCs w:val="21"/>
        </w:rPr>
        <w:t>输出能量</w:t>
      </w:r>
      <w:r>
        <w:rPr>
          <w:rFonts w:hint="eastAsia"/>
          <w:sz w:val="21"/>
          <w:szCs w:val="21"/>
          <w:lang w:eastAsia="zh-CN"/>
        </w:rPr>
        <w:t>：</w:t>
      </w:r>
      <w:r>
        <w:rPr>
          <w:rFonts w:hint="eastAsia"/>
          <w:sz w:val="21"/>
          <w:szCs w:val="21"/>
          <w:lang w:val="en-US" w:eastAsia="zh-CN"/>
        </w:rPr>
        <w:t>至少</w:t>
      </w:r>
      <w:r>
        <w:rPr>
          <w:rFonts w:hint="eastAsia"/>
          <w:sz w:val="21"/>
          <w:szCs w:val="21"/>
          <w:lang w:eastAsia="zh-CN"/>
        </w:rPr>
        <w:t>7档电子能量档位调节，0.1J-0.4J，最大碎石能量输出值＜0.4J，平均碎石能量0.25J。（</w:t>
      </w:r>
      <w:r>
        <w:rPr>
          <w:rFonts w:hint="eastAsia"/>
          <w:sz w:val="21"/>
          <w:szCs w:val="21"/>
          <w:lang w:val="en-US" w:eastAsia="zh-CN"/>
        </w:rPr>
        <w:t>提供相关</w:t>
      </w:r>
      <w:r>
        <w:rPr>
          <w:rFonts w:hint="eastAsia"/>
          <w:sz w:val="21"/>
          <w:szCs w:val="21"/>
          <w:lang w:eastAsia="zh-CN"/>
        </w:rPr>
        <w:t>检测报告）</w:t>
      </w:r>
    </w:p>
    <w:p>
      <w:pPr>
        <w:numPr>
          <w:ilvl w:val="0"/>
          <w:numId w:val="2"/>
        </w:numPr>
        <w:ind w:left="0" w:leftChars="0" w:firstLine="0" w:firstLineChars="0"/>
        <w:rPr>
          <w:rFonts w:hint="eastAsia"/>
          <w:sz w:val="21"/>
          <w:szCs w:val="21"/>
        </w:rPr>
      </w:pPr>
      <w:r>
        <w:rPr>
          <w:rFonts w:hint="eastAsia"/>
          <w:sz w:val="21"/>
          <w:szCs w:val="21"/>
        </w:rPr>
        <w:t>输出能量不稳定度</w:t>
      </w:r>
      <w:r>
        <w:rPr>
          <w:rFonts w:hint="eastAsia"/>
          <w:sz w:val="21"/>
          <w:szCs w:val="21"/>
          <w:lang w:eastAsia="zh-CN"/>
        </w:rPr>
        <w:t>：</w:t>
      </w:r>
      <w:r>
        <w:rPr>
          <w:rFonts w:hint="eastAsia"/>
          <w:sz w:val="21"/>
          <w:szCs w:val="21"/>
          <w:lang w:val="en-US" w:eastAsia="zh-CN"/>
        </w:rPr>
        <w:t>不超过</w:t>
      </w:r>
      <w:r>
        <w:rPr>
          <w:rFonts w:hint="eastAsia"/>
          <w:sz w:val="21"/>
          <w:szCs w:val="21"/>
        </w:rPr>
        <w:t>±20%</w:t>
      </w:r>
      <w:r>
        <w:rPr>
          <w:rFonts w:hint="eastAsia"/>
          <w:sz w:val="21"/>
          <w:szCs w:val="21"/>
          <w:lang w:eastAsia="zh-CN"/>
        </w:rPr>
        <w:t>。</w:t>
      </w:r>
    </w:p>
    <w:p>
      <w:pPr>
        <w:numPr>
          <w:ilvl w:val="0"/>
          <w:numId w:val="2"/>
        </w:numPr>
        <w:ind w:left="0" w:leftChars="0" w:firstLine="0" w:firstLineChars="0"/>
        <w:rPr>
          <w:rFonts w:hint="eastAsia"/>
          <w:sz w:val="21"/>
          <w:szCs w:val="21"/>
        </w:rPr>
      </w:pPr>
      <w:r>
        <w:rPr>
          <w:rFonts w:hint="eastAsia"/>
          <w:sz w:val="21"/>
          <w:szCs w:val="21"/>
        </w:rPr>
        <w:t>输入功率</w:t>
      </w:r>
      <w:r>
        <w:rPr>
          <w:rFonts w:hint="eastAsia"/>
          <w:sz w:val="21"/>
          <w:szCs w:val="21"/>
          <w:lang w:eastAsia="zh-CN"/>
        </w:rPr>
        <w:t>：</w:t>
      </w:r>
      <w:r>
        <w:rPr>
          <w:rFonts w:hint="eastAsia"/>
          <w:sz w:val="21"/>
          <w:szCs w:val="21"/>
        </w:rPr>
        <w:t>＜140VA</w:t>
      </w:r>
      <w:r>
        <w:rPr>
          <w:rFonts w:hint="eastAsia"/>
          <w:sz w:val="21"/>
          <w:szCs w:val="21"/>
          <w:lang w:eastAsia="zh-CN"/>
        </w:rPr>
        <w:t>。</w:t>
      </w:r>
    </w:p>
    <w:p>
      <w:pPr>
        <w:numPr>
          <w:ilvl w:val="0"/>
          <w:numId w:val="2"/>
        </w:numPr>
        <w:ind w:left="0" w:leftChars="0" w:firstLine="0" w:firstLineChars="0"/>
        <w:rPr>
          <w:rFonts w:hint="eastAsia"/>
          <w:sz w:val="21"/>
          <w:szCs w:val="21"/>
        </w:rPr>
      </w:pPr>
      <w:r>
        <w:rPr>
          <w:rFonts w:hint="eastAsia"/>
          <w:sz w:val="21"/>
          <w:szCs w:val="21"/>
        </w:rPr>
        <w:t>放电频率</w:t>
      </w:r>
      <w:r>
        <w:rPr>
          <w:rFonts w:hint="eastAsia"/>
          <w:sz w:val="21"/>
          <w:szCs w:val="21"/>
          <w:lang w:eastAsia="zh-CN"/>
        </w:rPr>
        <w:t>：</w:t>
      </w:r>
      <w:r>
        <w:rPr>
          <w:rFonts w:hint="eastAsia"/>
          <w:sz w:val="21"/>
          <w:szCs w:val="21"/>
        </w:rPr>
        <w:t>最高放电频率＞30次／秒。</w:t>
      </w:r>
    </w:p>
    <w:p>
      <w:pPr>
        <w:numPr>
          <w:ilvl w:val="0"/>
          <w:numId w:val="2"/>
        </w:numPr>
        <w:ind w:left="0" w:leftChars="0" w:firstLine="0" w:firstLineChars="0"/>
        <w:rPr>
          <w:rFonts w:hint="eastAsia"/>
          <w:sz w:val="21"/>
          <w:szCs w:val="21"/>
          <w:lang w:eastAsia="zh-CN"/>
        </w:rPr>
      </w:pPr>
      <w:r>
        <w:rPr>
          <w:rFonts w:hint="eastAsia" w:ascii="宋体" w:hAnsi="宋体" w:eastAsia="宋体" w:cs="宋体"/>
          <w:b w:val="0"/>
          <w:bCs w:val="0"/>
          <w:sz w:val="21"/>
          <w:szCs w:val="21"/>
          <w:lang w:val="en-US" w:eastAsia="zh-CN"/>
        </w:rPr>
        <w:t>★</w:t>
      </w:r>
      <w:r>
        <w:rPr>
          <w:rFonts w:hint="eastAsia"/>
          <w:sz w:val="21"/>
          <w:szCs w:val="21"/>
        </w:rPr>
        <w:t>放电时间</w:t>
      </w:r>
      <w:r>
        <w:rPr>
          <w:rFonts w:hint="eastAsia"/>
          <w:sz w:val="21"/>
          <w:szCs w:val="21"/>
          <w:lang w:eastAsia="zh-CN"/>
        </w:rPr>
        <w:t>：＜2μs。（</w:t>
      </w:r>
      <w:r>
        <w:rPr>
          <w:rFonts w:hint="eastAsia"/>
          <w:sz w:val="21"/>
          <w:szCs w:val="21"/>
          <w:lang w:val="en-US" w:eastAsia="zh-CN"/>
        </w:rPr>
        <w:t>提供相关</w:t>
      </w:r>
      <w:r>
        <w:rPr>
          <w:rFonts w:hint="eastAsia"/>
          <w:sz w:val="21"/>
          <w:szCs w:val="21"/>
          <w:lang w:eastAsia="zh-CN"/>
        </w:rPr>
        <w:t>检测报告）</w:t>
      </w:r>
    </w:p>
    <w:p>
      <w:pPr>
        <w:numPr>
          <w:ilvl w:val="0"/>
          <w:numId w:val="2"/>
        </w:numPr>
        <w:ind w:left="0" w:leftChars="0" w:firstLine="0" w:firstLineChars="0"/>
        <w:rPr>
          <w:rFonts w:hint="eastAsia"/>
          <w:sz w:val="21"/>
          <w:szCs w:val="21"/>
        </w:rPr>
      </w:pPr>
      <w:r>
        <w:rPr>
          <w:rFonts w:hint="eastAsia"/>
          <w:sz w:val="21"/>
          <w:szCs w:val="21"/>
        </w:rPr>
        <w:t>放电模式</w:t>
      </w:r>
      <w:r>
        <w:rPr>
          <w:rFonts w:hint="eastAsia"/>
          <w:sz w:val="21"/>
          <w:szCs w:val="21"/>
          <w:lang w:eastAsia="zh-CN"/>
        </w:rPr>
        <w:t>：</w:t>
      </w:r>
      <w:r>
        <w:rPr>
          <w:rFonts w:hint="eastAsia"/>
          <w:sz w:val="21"/>
          <w:szCs w:val="21"/>
          <w:lang w:val="en-US" w:eastAsia="zh-CN"/>
        </w:rPr>
        <w:t>至少含以下模式，</w:t>
      </w:r>
      <w:r>
        <w:rPr>
          <w:rFonts w:hint="eastAsia"/>
          <w:sz w:val="21"/>
          <w:szCs w:val="21"/>
          <w:lang w:eastAsia="zh-CN"/>
        </w:rPr>
        <w:t>单次脉冲模式；复式脉冲模式（双连击）；复式脉冲模式（四连击）；OOD脉冲模式。</w:t>
      </w:r>
    </w:p>
    <w:p>
      <w:pPr>
        <w:numPr>
          <w:ilvl w:val="0"/>
          <w:numId w:val="2"/>
        </w:numPr>
        <w:ind w:left="0" w:leftChars="0" w:firstLine="0" w:firstLineChars="0"/>
        <w:rPr>
          <w:rFonts w:hint="eastAsia"/>
          <w:sz w:val="21"/>
          <w:szCs w:val="21"/>
        </w:rPr>
      </w:pPr>
      <w:r>
        <w:rPr>
          <w:rFonts w:hint="eastAsia"/>
          <w:sz w:val="21"/>
          <w:szCs w:val="21"/>
        </w:rPr>
        <w:t>放电次数</w:t>
      </w:r>
      <w:r>
        <w:rPr>
          <w:rFonts w:hint="eastAsia"/>
          <w:sz w:val="21"/>
          <w:szCs w:val="21"/>
          <w:lang w:eastAsia="zh-CN"/>
        </w:rPr>
        <w:t>：显示放电次数范围0—99，并自动累加。</w:t>
      </w:r>
    </w:p>
    <w:p>
      <w:pPr>
        <w:rPr>
          <w:rFonts w:hint="eastAsia"/>
          <w:sz w:val="21"/>
          <w:szCs w:val="21"/>
          <w:lang w:val="en-US" w:eastAsia="zh-CN"/>
        </w:rPr>
      </w:pPr>
      <w:r>
        <w:rPr>
          <w:rFonts w:hint="eastAsia"/>
          <w:sz w:val="21"/>
          <w:szCs w:val="21"/>
          <w:lang w:val="en-US" w:eastAsia="zh-CN"/>
        </w:rPr>
        <w:t>10、电极要求：配备4根，直径≤1.2mm、长度2.5M。电极线材质符合GB/T 16886.1-2011医疗器械生物学评价要求，通过细胞毒性实验，迟发型超敏反应实验，皮内反应实验。</w:t>
      </w:r>
    </w:p>
    <w:p>
      <w:pPr>
        <w:rPr>
          <w:rFonts w:hint="eastAsia" w:eastAsiaTheme="minorEastAsia"/>
          <w:sz w:val="21"/>
          <w:szCs w:val="21"/>
          <w:lang w:eastAsia="zh-CN"/>
        </w:rPr>
      </w:pPr>
      <w:r>
        <w:rPr>
          <w:rFonts w:hint="eastAsia"/>
          <w:sz w:val="21"/>
          <w:szCs w:val="21"/>
          <w:lang w:val="en-US" w:eastAsia="zh-CN"/>
        </w:rPr>
        <w:t>11、</w:t>
      </w:r>
      <w:r>
        <w:rPr>
          <w:rFonts w:hint="eastAsia"/>
          <w:sz w:val="21"/>
          <w:szCs w:val="21"/>
        </w:rPr>
        <w:t>显示屏：内置于主机，彩色大屏幕</w:t>
      </w:r>
      <w:r>
        <w:rPr>
          <w:rFonts w:hint="eastAsia"/>
          <w:sz w:val="21"/>
          <w:szCs w:val="21"/>
          <w:lang w:val="en-US" w:eastAsia="zh-CN"/>
        </w:rPr>
        <w:t>不小于</w:t>
      </w:r>
      <w:r>
        <w:rPr>
          <w:rFonts w:hint="eastAsia"/>
          <w:sz w:val="21"/>
          <w:szCs w:val="21"/>
        </w:rPr>
        <w:t>8英寸液晶显示终端</w:t>
      </w:r>
      <w:r>
        <w:rPr>
          <w:rFonts w:hint="eastAsia"/>
          <w:sz w:val="21"/>
          <w:szCs w:val="21"/>
          <w:lang w:eastAsia="zh-CN"/>
        </w:rPr>
        <w:t>。</w:t>
      </w:r>
    </w:p>
    <w:p>
      <w:pPr>
        <w:rPr>
          <w:rFonts w:hint="eastAsia"/>
          <w:sz w:val="21"/>
          <w:szCs w:val="21"/>
        </w:rPr>
      </w:pPr>
      <w:r>
        <w:rPr>
          <w:rFonts w:hint="eastAsia"/>
          <w:sz w:val="21"/>
          <w:szCs w:val="21"/>
          <w:lang w:val="en-US" w:eastAsia="zh-CN"/>
        </w:rPr>
        <w:t>12、</w:t>
      </w:r>
      <w:r>
        <w:rPr>
          <w:rFonts w:hint="eastAsia"/>
          <w:sz w:val="21"/>
          <w:szCs w:val="21"/>
        </w:rPr>
        <w:t>信息显示</w:t>
      </w:r>
      <w:r>
        <w:rPr>
          <w:rFonts w:hint="eastAsia"/>
          <w:sz w:val="21"/>
          <w:szCs w:val="21"/>
          <w:lang w:val="en-US" w:eastAsia="zh-CN"/>
        </w:rPr>
        <w:t>至少含</w:t>
      </w:r>
      <w:r>
        <w:rPr>
          <w:rFonts w:hint="eastAsia"/>
          <w:sz w:val="21"/>
          <w:szCs w:val="21"/>
        </w:rPr>
        <w:t>：输出能量；电极寿命；碎石模式；治疗计数；故障信息显示。</w:t>
      </w:r>
    </w:p>
    <w:p>
      <w:pPr>
        <w:rPr>
          <w:rFonts w:hint="eastAsia"/>
          <w:sz w:val="21"/>
          <w:szCs w:val="21"/>
        </w:rPr>
      </w:pPr>
      <w:r>
        <w:rPr>
          <w:rFonts w:hint="eastAsia"/>
          <w:sz w:val="21"/>
          <w:szCs w:val="21"/>
          <w:lang w:val="en-US" w:eastAsia="zh-CN"/>
        </w:rPr>
        <w:t>13、</w:t>
      </w:r>
      <w:r>
        <w:rPr>
          <w:rFonts w:hint="eastAsia"/>
          <w:sz w:val="21"/>
          <w:szCs w:val="21"/>
        </w:rPr>
        <w:t>安全标准：电气安全要求符合GB 9706.1-2007医用电气设备第一部分通用要求。</w:t>
      </w:r>
    </w:p>
    <w:p>
      <w:pPr>
        <w:rPr>
          <w:rFonts w:hint="eastAsia" w:eastAsiaTheme="minorEastAsia"/>
          <w:sz w:val="21"/>
          <w:szCs w:val="21"/>
          <w:lang w:val="en-US" w:eastAsia="zh-CN"/>
        </w:rPr>
      </w:pPr>
      <w:r>
        <w:rPr>
          <w:rFonts w:hint="eastAsia"/>
          <w:sz w:val="21"/>
          <w:szCs w:val="21"/>
          <w:lang w:val="en-US" w:eastAsia="zh-CN"/>
        </w:rPr>
        <w:t>14、</w:t>
      </w:r>
      <w:r>
        <w:rPr>
          <w:rFonts w:hint="eastAsia"/>
          <w:sz w:val="21"/>
          <w:szCs w:val="21"/>
        </w:rPr>
        <w:t>控制系统：采用内嵌式ARM9、32位控制系统，配合51单片机的232串口与之通信控制</w:t>
      </w:r>
      <w:r>
        <w:rPr>
          <w:rFonts w:hint="eastAsia"/>
          <w:sz w:val="21"/>
          <w:szCs w:val="21"/>
          <w:lang w:eastAsia="zh-CN"/>
        </w:rPr>
        <w:t>。</w:t>
      </w:r>
    </w:p>
    <w:p>
      <w:pPr>
        <w:rPr>
          <w:rFonts w:hint="eastAsia"/>
          <w:sz w:val="21"/>
          <w:szCs w:val="21"/>
          <w:lang w:eastAsia="zh-CN"/>
        </w:rPr>
      </w:pPr>
      <w:r>
        <w:rPr>
          <w:rFonts w:hint="eastAsia"/>
          <w:sz w:val="21"/>
          <w:szCs w:val="21"/>
          <w:lang w:val="en-US" w:eastAsia="zh-CN"/>
        </w:rPr>
        <w:t>15、</w:t>
      </w:r>
      <w:r>
        <w:rPr>
          <w:rFonts w:hint="eastAsia"/>
          <w:sz w:val="21"/>
          <w:szCs w:val="21"/>
        </w:rPr>
        <w:t>配套软件：采用专用串口型彩色液晶屏显示终端</w:t>
      </w:r>
      <w:r>
        <w:rPr>
          <w:rFonts w:hint="eastAsia"/>
          <w:sz w:val="21"/>
          <w:szCs w:val="21"/>
          <w:lang w:eastAsia="zh-CN"/>
        </w:rPr>
        <w:t>；</w:t>
      </w:r>
      <w:r>
        <w:rPr>
          <w:rFonts w:hint="eastAsia"/>
          <w:sz w:val="21"/>
          <w:szCs w:val="21"/>
          <w:lang w:val="en-US" w:eastAsia="zh-CN"/>
        </w:rPr>
        <w:t>采用</w:t>
      </w:r>
      <w:r>
        <w:rPr>
          <w:rFonts w:hint="eastAsia"/>
          <w:sz w:val="21"/>
          <w:szCs w:val="21"/>
        </w:rPr>
        <w:t>CPLD复杂可编程逻辑器件</w:t>
      </w:r>
      <w:r>
        <w:rPr>
          <w:rFonts w:hint="eastAsia"/>
          <w:sz w:val="21"/>
          <w:szCs w:val="21"/>
          <w:lang w:eastAsia="zh-CN"/>
        </w:rPr>
        <w:t>。</w:t>
      </w:r>
    </w:p>
    <w:p>
      <w:pPr>
        <w:rPr>
          <w:rFonts w:hint="eastAsia"/>
          <w:sz w:val="21"/>
          <w:szCs w:val="21"/>
        </w:rPr>
      </w:pPr>
      <w:r>
        <w:rPr>
          <w:rFonts w:hint="eastAsia"/>
          <w:sz w:val="21"/>
          <w:szCs w:val="21"/>
          <w:lang w:val="en-US" w:eastAsia="zh-CN"/>
        </w:rPr>
        <w:t>16、</w:t>
      </w:r>
      <w:r>
        <w:rPr>
          <w:rFonts w:hint="eastAsia"/>
          <w:sz w:val="21"/>
          <w:szCs w:val="21"/>
        </w:rPr>
        <w:t>本设备整机免费保修三年起</w:t>
      </w:r>
    </w:p>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A66FF"/>
    <w:multiLevelType w:val="singleLevel"/>
    <w:tmpl w:val="B95A66FF"/>
    <w:lvl w:ilvl="0" w:tentative="0">
      <w:start w:val="1"/>
      <w:numFmt w:val="decimal"/>
      <w:suff w:val="nothing"/>
      <w:lvlText w:val="%1、"/>
      <w:lvlJc w:val="left"/>
    </w:lvl>
  </w:abstractNum>
  <w:abstractNum w:abstractNumId="1">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0C7D6933"/>
    <w:rsid w:val="14601268"/>
    <w:rsid w:val="21830D3D"/>
    <w:rsid w:val="68344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Plain Text"/>
    <w:basedOn w:val="1"/>
    <w:qFormat/>
    <w:uiPriority w:val="0"/>
    <w:rPr>
      <w:rFonts w:ascii="宋体" w:hAnsi="Courier New"/>
      <w:szCs w:val="2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10">
    <w:name w:val="副标题 字符"/>
    <w:link w:val="6"/>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5978</Words>
  <Characters>6267</Characters>
  <Lines>0</Lines>
  <Paragraphs>0</Paragraphs>
  <TotalTime>0</TotalTime>
  <ScaleCrop>false</ScaleCrop>
  <LinksUpToDate>false</LinksUpToDate>
  <CharactersWithSpaces>6323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2023-06-08T06:13:00Z</dcterms:created>
  <dc:creator>Administrator</dc:creator>
  <cp:lastModifiedBy>shaoqi</cp:lastModifiedBy>
  <dcterms:modified xsi:type="dcterms:W3CDTF">2023-07-05T03:31:17Z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8EC8045DB2B740A788AE96DAF618175F_12</vt:lpwstr>
  </property>
</Properties>
</file>