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2"/>
        <w:tabs>
          <w:tab w:val="left" w:pos="2520"/>
        </w:tabs>
        <w:spacing w:line="500" w:lineRule="exact"/>
        <w:rPr>
          <w:rFonts w:hAnsi="宋体" w:cs="宋体"/>
          <w:sz w:val="28"/>
          <w:szCs w:val="28"/>
        </w:rPr>
      </w:pPr>
    </w:p>
    <w:p>
      <w:pPr>
        <w:pStyle w:val="2"/>
        <w:tabs>
          <w:tab w:val="left" w:pos="2520"/>
        </w:tabs>
        <w:spacing w:line="500" w:lineRule="exact"/>
        <w:jc w:val="center"/>
        <w:rPr>
          <w:rFonts w:hAnsi="宋体" w:cs="宋体"/>
          <w:spacing w:val="14"/>
          <w:sz w:val="48"/>
          <w:szCs w:val="48"/>
        </w:rPr>
      </w:pPr>
    </w:p>
    <w:p>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2"/>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20" w:lineRule="exact"/>
        <w:ind w:firstLine="1446" w:firstLineChars="400"/>
        <w:rPr>
          <w:rFonts w:hint="eastAsia" w:ascii="宋体" w:hAnsi="宋体" w:eastAsia="宋体" w:cs="宋体"/>
          <w:sz w:val="24"/>
        </w:rPr>
      </w:pPr>
      <w:r>
        <w:rPr>
          <w:rFonts w:hint="eastAsia" w:ascii="宋体" w:hAnsi="宋体" w:cs="宋体"/>
          <w:b/>
          <w:sz w:val="36"/>
          <w:szCs w:val="36"/>
        </w:rPr>
        <w:t>项目名称：黄石市中心医院</w:t>
      </w:r>
      <w:r>
        <w:rPr>
          <w:rFonts w:hint="eastAsia" w:ascii="宋体" w:hAnsi="宋体" w:cs="宋体"/>
          <w:b/>
          <w:sz w:val="36"/>
          <w:szCs w:val="36"/>
          <w:lang w:val="en-US" w:eastAsia="zh-CN"/>
        </w:rPr>
        <w:t>妇科LEE刀</w:t>
      </w:r>
      <w:r>
        <w:rPr>
          <w:rFonts w:hint="eastAsia" w:ascii="宋体" w:hAnsi="宋体" w:cs="宋体"/>
          <w:b/>
          <w:sz w:val="36"/>
          <w:szCs w:val="36"/>
        </w:rPr>
        <w:t>采购项目</w:t>
      </w:r>
    </w:p>
    <w:p>
      <w:pPr>
        <w:spacing w:line="420" w:lineRule="exact"/>
        <w:ind w:left="3243" w:leftChars="684" w:hanging="1807" w:hangingChars="500"/>
        <w:rPr>
          <w:rFonts w:hint="eastAsia" w:ascii="宋体" w:hAnsi="宋体" w:cs="宋体"/>
          <w:b/>
          <w:sz w:val="36"/>
          <w:szCs w:val="36"/>
        </w:rPr>
      </w:pPr>
    </w:p>
    <w:p>
      <w:pPr>
        <w:spacing w:line="480" w:lineRule="auto"/>
        <w:ind w:firstLine="1446" w:firstLineChars="400"/>
        <w:rPr>
          <w:rFonts w:ascii="宋体" w:hAnsi="宋体" w:cs="宋体"/>
          <w:b/>
          <w:sz w:val="36"/>
          <w:szCs w:val="36"/>
          <w:lang w:val="zh-CN"/>
        </w:rPr>
      </w:pP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2"/>
        <w:tabs>
          <w:tab w:val="left" w:pos="2520"/>
        </w:tabs>
        <w:spacing w:line="500" w:lineRule="exact"/>
        <w:jc w:val="center"/>
        <w:rPr>
          <w:rFonts w:hAnsi="宋体" w:cs="宋体"/>
          <w:sz w:val="36"/>
          <w:szCs w:val="36"/>
        </w:rPr>
      </w:pPr>
    </w:p>
    <w:p>
      <w:pPr>
        <w:pStyle w:val="2"/>
        <w:tabs>
          <w:tab w:val="left" w:pos="2520"/>
        </w:tabs>
        <w:spacing w:line="500" w:lineRule="exact"/>
        <w:jc w:val="center"/>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四</w:t>
      </w:r>
      <w:r>
        <w:rPr>
          <w:rFonts w:hint="eastAsia" w:ascii="宋体" w:hAnsi="宋体"/>
          <w:b/>
          <w:bCs/>
          <w:sz w:val="36"/>
          <w:szCs w:val="36"/>
        </w:rPr>
        <w:t>年</w:t>
      </w:r>
      <w:r>
        <w:rPr>
          <w:rFonts w:hint="eastAsia" w:ascii="宋体" w:hAnsi="宋体"/>
          <w:b/>
          <w:bCs/>
          <w:sz w:val="36"/>
          <w:szCs w:val="36"/>
          <w:lang w:val="en-US" w:eastAsia="zh-CN"/>
        </w:rPr>
        <w:t>一</w:t>
      </w:r>
      <w:bookmarkStart w:id="43" w:name="_GoBack"/>
      <w:bookmarkEnd w:id="43"/>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7"/>
        <w:rPr>
          <w:rFonts w:ascii="宋体" w:hAnsi="宋体" w:cs="宋体"/>
        </w:rPr>
      </w:pPr>
      <w:bookmarkStart w:id="0" w:name="_Toc528493163"/>
      <w:bookmarkStart w:id="1" w:name="_Toc528494262"/>
      <w:bookmarkStart w:id="2" w:name="_Toc528493130"/>
      <w:bookmarkStart w:id="3" w:name="_Toc528493082"/>
      <w:bookmarkStart w:id="4" w:name="_Toc528493563"/>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35393622"/>
      <w:bookmarkStart w:id="6" w:name="_Toc28359003"/>
      <w:bookmarkStart w:id="7" w:name="_Toc35393791"/>
      <w:bookmarkStart w:id="8" w:name="_Toc28359080"/>
      <w:r>
        <w:rPr>
          <w:rFonts w:hint="eastAsia" w:ascii="宋体" w:hAnsi="宋体" w:cs="宋体"/>
          <w:sz w:val="24"/>
          <w:lang w:val="zh-CN"/>
        </w:rPr>
        <w:t>根据黄石市中心医院的需求，就</w:t>
      </w:r>
      <w:r>
        <w:rPr>
          <w:rFonts w:hint="eastAsia" w:ascii="宋体" w:hAnsi="宋体" w:cs="宋体"/>
          <w:sz w:val="24"/>
        </w:rPr>
        <w:t>黄石市中心医</w:t>
      </w:r>
      <w:r>
        <w:rPr>
          <w:rFonts w:hint="eastAsia" w:ascii="宋体" w:hAnsi="宋体" w:eastAsia="宋体" w:cs="宋体"/>
          <w:sz w:val="24"/>
        </w:rPr>
        <w:t>院</w:t>
      </w:r>
      <w:r>
        <w:rPr>
          <w:rFonts w:hint="eastAsia" w:ascii="宋体" w:hAnsi="宋体" w:eastAsia="宋体" w:cs="宋体"/>
          <w:sz w:val="24"/>
          <w:lang w:val="en-US" w:eastAsia="zh-CN"/>
        </w:rPr>
        <w:t>妇科LEE刀</w:t>
      </w:r>
      <w:r>
        <w:rPr>
          <w:rFonts w:hint="eastAsia" w:ascii="宋体" w:hAnsi="宋体" w:eastAsia="宋体" w:cs="宋体"/>
          <w:sz w:val="24"/>
        </w:rPr>
        <w:t>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bookmarkEnd w:id="5"/>
      <w:bookmarkEnd w:id="6"/>
      <w:bookmarkEnd w:id="7"/>
      <w:bookmarkEnd w:id="8"/>
      <w:bookmarkStart w:id="9" w:name="_Toc35393623"/>
      <w:bookmarkStart w:id="10" w:name="_Toc28359004"/>
      <w:bookmarkStart w:id="11" w:name="_Toc35393792"/>
      <w:bookmarkStart w:id="12" w:name="_Toc28359081"/>
    </w:p>
    <w:p>
      <w:pPr>
        <w:spacing w:line="420" w:lineRule="exact"/>
        <w:ind w:firstLine="480" w:firstLineChars="200"/>
        <w:rPr>
          <w:rFonts w:hint="eastAsia" w:ascii="宋体" w:hAnsi="宋体" w:eastAsia="宋体" w:cs="宋体"/>
          <w:sz w:val="24"/>
        </w:rPr>
      </w:pPr>
      <w:r>
        <w:rPr>
          <w:rFonts w:ascii="宋体" w:hAnsi="宋体" w:cs="宋体"/>
          <w:sz w:val="24"/>
        </w:rPr>
        <w:t>1.</w:t>
      </w:r>
      <w:r>
        <w:rPr>
          <w:rFonts w:hint="eastAsia" w:ascii="宋体" w:hAnsi="宋体" w:cs="宋体"/>
          <w:sz w:val="24"/>
        </w:rPr>
        <w:t>项目名称：黄石市中心医</w:t>
      </w:r>
      <w:r>
        <w:rPr>
          <w:rFonts w:hint="eastAsia" w:ascii="宋体" w:hAnsi="宋体" w:eastAsia="宋体" w:cs="宋体"/>
          <w:sz w:val="24"/>
        </w:rPr>
        <w:t>院</w:t>
      </w:r>
      <w:r>
        <w:rPr>
          <w:rFonts w:hint="eastAsia" w:ascii="宋体" w:hAnsi="宋体" w:eastAsia="宋体" w:cs="宋体"/>
          <w:sz w:val="24"/>
          <w:lang w:val="en-US" w:eastAsia="zh-CN"/>
        </w:rPr>
        <w:t>妇科LEE刀</w:t>
      </w:r>
      <w:r>
        <w:rPr>
          <w:rFonts w:hint="eastAsia" w:ascii="宋体" w:hAnsi="宋体" w:eastAsia="宋体" w:cs="宋体"/>
          <w:sz w:val="24"/>
        </w:rPr>
        <w:t>采购项目</w:t>
      </w:r>
    </w:p>
    <w:p>
      <w:pPr>
        <w:spacing w:line="420" w:lineRule="exact"/>
        <w:ind w:firstLine="480" w:firstLineChars="200"/>
        <w:rPr>
          <w:rFonts w:hint="eastAsia" w:ascii="宋体" w:hAnsi="宋体" w:eastAsia="宋体" w:cs="宋体"/>
          <w:sz w:val="24"/>
        </w:rPr>
      </w:pPr>
      <w:r>
        <w:rPr>
          <w:rFonts w:hint="eastAsia" w:ascii="宋体" w:hAnsi="宋体" w:eastAsia="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6</w:t>
      </w:r>
      <w:r>
        <w:rPr>
          <w:rFonts w:hint="eastAsia" w:ascii="宋体" w:hAnsi="宋体" w:cs="宋体"/>
          <w:sz w:val="24"/>
        </w:rPr>
        <w:t>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w:t>
      </w:r>
      <w:r>
        <w:rPr>
          <w:rFonts w:hint="eastAsia" w:ascii="宋体" w:hAnsi="宋体" w:cs="宋体"/>
          <w:sz w:val="24"/>
          <w:lang w:val="en-US" w:eastAsia="zh-CN"/>
        </w:rPr>
        <w:t>1台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35393794"/>
      <w:bookmarkStart w:id="14" w:name="_Toc28359007"/>
      <w:bookmarkStart w:id="15" w:name="_Toc28359084"/>
      <w:bookmarkStart w:id="16" w:name="_Toc35393625"/>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lang w:val="en-US" w:eastAsia="zh-CN"/>
        </w:rPr>
        <w:t>1</w:t>
      </w:r>
      <w:r>
        <w:rPr>
          <w:rFonts w:ascii="宋体" w:hAnsi="宋体" w:cs="宋体"/>
          <w:sz w:val="24"/>
        </w:rPr>
        <w:t>年</w:t>
      </w:r>
      <w:r>
        <w:rPr>
          <w:rFonts w:hint="eastAsia" w:ascii="宋体" w:hAnsi="宋体" w:cs="宋体"/>
          <w:sz w:val="24"/>
        </w:rPr>
        <w:t xml:space="preserve"> </w:t>
      </w:r>
      <w:r>
        <w:rPr>
          <w:rFonts w:hint="eastAsia" w:ascii="宋体" w:hAnsi="宋体" w:cs="宋体"/>
          <w:sz w:val="24"/>
          <w:lang w:val="en-US" w:eastAsia="zh-CN"/>
        </w:rPr>
        <w:t xml:space="preserve">1 </w:t>
      </w:r>
      <w:r>
        <w:rPr>
          <w:rFonts w:ascii="宋体" w:hAnsi="宋体" w:cs="宋体"/>
          <w:sz w:val="24"/>
        </w:rPr>
        <w:t>月</w:t>
      </w:r>
      <w:r>
        <w:rPr>
          <w:rFonts w:hint="eastAsia" w:ascii="宋体" w:hAnsi="宋体" w:cs="宋体"/>
          <w:sz w:val="24"/>
          <w:lang w:val="en-US" w:eastAsia="zh-CN"/>
        </w:rPr>
        <w:t>15</w:t>
      </w:r>
      <w:r>
        <w:rPr>
          <w:rFonts w:hint="eastAsia" w:ascii="宋体" w:hAnsi="宋体" w:cs="宋体"/>
          <w:sz w:val="24"/>
        </w:rPr>
        <w:t xml:space="preserve"> </w:t>
      </w:r>
      <w:r>
        <w:rPr>
          <w:rFonts w:ascii="宋体" w:hAnsi="宋体" w:cs="宋体"/>
          <w:sz w:val="24"/>
        </w:rPr>
        <w:t>日</w:t>
      </w:r>
      <w:r>
        <w:rPr>
          <w:rFonts w:hint="eastAsia" w:ascii="宋体" w:hAnsi="宋体" w:cs="宋体"/>
          <w:sz w:val="24"/>
        </w:rPr>
        <w:t>-</w:t>
      </w:r>
      <w:r>
        <w:rPr>
          <w:rFonts w:ascii="宋体" w:hAnsi="宋体" w:cs="宋体"/>
          <w:sz w:val="24"/>
        </w:rPr>
        <w:t>20</w:t>
      </w:r>
      <w:r>
        <w:rPr>
          <w:rFonts w:hint="eastAsia" w:ascii="宋体" w:hAnsi="宋体" w:cs="宋体"/>
          <w:sz w:val="24"/>
        </w:rPr>
        <w:t>2</w:t>
      </w:r>
      <w:r>
        <w:rPr>
          <w:rFonts w:hint="eastAsia" w:ascii="宋体" w:hAnsi="宋体" w:cs="宋体"/>
          <w:sz w:val="24"/>
          <w:lang w:val="en-US" w:eastAsia="zh-CN"/>
        </w:rPr>
        <w:t>4</w:t>
      </w:r>
      <w:r>
        <w:rPr>
          <w:rFonts w:hint="eastAsia" w:ascii="宋体" w:hAnsi="宋体" w:cs="宋体"/>
          <w:sz w:val="24"/>
        </w:rPr>
        <w:t xml:space="preserve">年 </w:t>
      </w:r>
      <w:r>
        <w:rPr>
          <w:rFonts w:hint="eastAsia" w:ascii="宋体" w:hAnsi="宋体" w:cs="宋体"/>
          <w:sz w:val="24"/>
          <w:lang w:val="en-US" w:eastAsia="zh-CN"/>
        </w:rPr>
        <w:t>1</w:t>
      </w:r>
      <w:r>
        <w:rPr>
          <w:rFonts w:hint="eastAsia" w:ascii="宋体" w:hAnsi="宋体" w:cs="宋体"/>
          <w:sz w:val="24"/>
        </w:rPr>
        <w:t xml:space="preserve"> 月 </w:t>
      </w:r>
      <w:r>
        <w:rPr>
          <w:rFonts w:hint="eastAsia" w:ascii="宋体" w:hAnsi="宋体" w:cs="宋体"/>
          <w:sz w:val="24"/>
          <w:lang w:val="en-US" w:eastAsia="zh-CN"/>
        </w:rPr>
        <w:t>22</w:t>
      </w:r>
      <w:r>
        <w:rPr>
          <w:rFonts w:hint="eastAsia" w:ascii="宋体" w:hAnsi="宋体" w:cs="宋体"/>
          <w:sz w:val="24"/>
        </w:rPr>
        <w:t xml:space="preserve">  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本项目竞争性磋商文件于黄石官网上发布。</w:t>
      </w:r>
      <w:bookmarkEnd w:id="13"/>
      <w:bookmarkEnd w:id="14"/>
      <w:bookmarkEnd w:id="15"/>
      <w:bookmarkEnd w:id="16"/>
      <w:bookmarkStart w:id="17" w:name="_Toc528493576"/>
      <w:bookmarkStart w:id="18" w:name="_Toc528494275"/>
      <w:bookmarkStart w:id="19" w:name="_Toc528493083"/>
      <w:bookmarkStart w:id="20" w:name="_Toc528493164"/>
      <w:bookmarkStart w:id="21" w:name="_Toc528493131"/>
    </w:p>
    <w:p>
      <w:pPr>
        <w:snapToGrid w:val="0"/>
        <w:spacing w:line="420" w:lineRule="exact"/>
        <w:ind w:firstLine="504" w:firstLineChars="210"/>
        <w:rPr>
          <w:rFonts w:ascii="宋体" w:hAnsi="宋体" w:cs="宋体"/>
        </w:rPr>
      </w:pPr>
      <w:r>
        <w:rPr>
          <w:rFonts w:hint="eastAsia" w:ascii="宋体" w:hAnsi="宋体" w:cs="宋体"/>
          <w:sz w:val="24"/>
        </w:rPr>
        <w:t>4、开标时间：另行通知</w:t>
      </w:r>
    </w:p>
    <w:p>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2"/>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1"/>
          <w:rFonts w:ascii="宋体" w:hAnsi="宋体" w:cs="宋体"/>
          <w:sz w:val="24"/>
          <w:szCs w:val="24"/>
        </w:rPr>
      </w:pPr>
      <w:r>
        <w:rPr>
          <w:rFonts w:hint="eastAsia" w:ascii="宋体" w:hAnsi="宋体" w:cs="宋体"/>
          <w:b/>
          <w:bCs/>
          <w:sz w:val="24"/>
          <w:szCs w:val="24"/>
        </w:rPr>
        <w:t xml:space="preserve">2. </w:t>
      </w:r>
      <w:r>
        <w:rPr>
          <w:rStyle w:val="11"/>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1"/>
          <w:rFonts w:hint="eastAsia" w:ascii="宋体" w:hAnsi="宋体" w:cs="宋体"/>
          <w:sz w:val="24"/>
          <w:szCs w:val="24"/>
        </w:rPr>
        <w:t>磋商费用</w:t>
      </w:r>
    </w:p>
    <w:p>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2"/>
        <w:adjustRightInd w:val="0"/>
        <w:snapToGrid w:val="0"/>
        <w:spacing w:line="500" w:lineRule="exact"/>
        <w:rPr>
          <w:rFonts w:ascii="Cambria" w:hAnsi="宋体" w:cs="宋体"/>
          <w:b/>
          <w:bCs/>
          <w:kern w:val="28"/>
          <w:sz w:val="24"/>
          <w:szCs w:val="24"/>
        </w:rPr>
      </w:pPr>
      <w:r>
        <w:rPr>
          <w:rStyle w:val="11"/>
          <w:rFonts w:hint="eastAsia" w:hAnsi="宋体" w:cs="宋体"/>
          <w:sz w:val="24"/>
          <w:szCs w:val="24"/>
        </w:rPr>
        <w:t>二、磋商文件</w:t>
      </w:r>
      <w:bookmarkEnd w:id="23"/>
      <w:r>
        <w:rPr>
          <w:rStyle w:val="11"/>
          <w:rFonts w:hint="eastAsia" w:hAnsi="宋体" w:cs="宋体"/>
          <w:sz w:val="24"/>
          <w:szCs w:val="24"/>
        </w:rPr>
        <w:t>的澄清与修改</w:t>
      </w:r>
    </w:p>
    <w:p>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1"/>
          <w:rFonts w:ascii="宋体" w:hAnsi="宋体" w:cs="宋体"/>
          <w:sz w:val="24"/>
          <w:szCs w:val="24"/>
        </w:rPr>
      </w:pPr>
      <w:bookmarkStart w:id="24" w:name="_Toc528494278"/>
      <w:r>
        <w:rPr>
          <w:rStyle w:val="11"/>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1"/>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1"/>
          <w:rFonts w:ascii="宋体" w:hAnsi="宋体" w:cs="宋体"/>
          <w:sz w:val="24"/>
          <w:szCs w:val="24"/>
        </w:rPr>
      </w:pPr>
      <w:bookmarkStart w:id="25" w:name="_Toc528493165"/>
      <w:bookmarkStart w:id="26" w:name="_Toc528493132"/>
      <w:bookmarkStart w:id="27" w:name="_Toc528494280"/>
      <w:bookmarkStart w:id="28" w:name="_Toc528493577"/>
      <w:bookmarkStart w:id="29" w:name="_Toc528493084"/>
      <w:r>
        <w:rPr>
          <w:rStyle w:val="11"/>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1"/>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1"/>
          <w:rFonts w:ascii="宋体" w:hAnsi="宋体" w:cs="宋体"/>
          <w:sz w:val="24"/>
          <w:szCs w:val="24"/>
        </w:rPr>
      </w:pPr>
      <w:bookmarkStart w:id="30" w:name="_Toc528494284"/>
      <w:r>
        <w:rPr>
          <w:rStyle w:val="11"/>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1242" w:tblpY="2047"/>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526" w:type="dxa"/>
            <w:vAlign w:val="center"/>
          </w:tcPr>
          <w:p>
            <w:pPr>
              <w:jc w:val="center"/>
              <w:rPr>
                <w:rFonts w:ascii="宋体" w:hAnsi="宋体"/>
                <w:sz w:val="24"/>
                <w:szCs w:val="24"/>
              </w:rPr>
            </w:pPr>
            <w:r>
              <w:rPr>
                <w:rFonts w:hint="eastAsia" w:ascii="宋体" w:hAnsi="宋体"/>
                <w:b/>
                <w:sz w:val="24"/>
                <w:szCs w:val="24"/>
              </w:rPr>
              <w:t>评 分 项 目</w:t>
            </w:r>
          </w:p>
        </w:tc>
        <w:tc>
          <w:tcPr>
            <w:tcW w:w="8114" w:type="dxa"/>
            <w:vAlign w:val="center"/>
          </w:tcPr>
          <w:p>
            <w:pPr>
              <w:jc w:val="center"/>
              <w:rPr>
                <w:rFonts w:ascii="宋体" w:hAnsi="宋体"/>
                <w:b/>
                <w:sz w:val="24"/>
                <w:szCs w:val="24"/>
              </w:rPr>
            </w:pPr>
            <w:r>
              <w:rPr>
                <w:rFonts w:hint="eastAsia" w:ascii="宋体" w:hAnsi="宋体"/>
                <w:b/>
                <w:sz w:val="24"/>
                <w:szCs w:val="24"/>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trPr>
        <w:tc>
          <w:tcPr>
            <w:tcW w:w="1526" w:type="dxa"/>
            <w:vAlign w:val="center"/>
          </w:tcPr>
          <w:p>
            <w:pPr>
              <w:pStyle w:val="6"/>
              <w:jc w:val="center"/>
              <w:rPr>
                <w:szCs w:val="24"/>
              </w:rPr>
            </w:pPr>
            <w:r>
              <w:rPr>
                <w:rFonts w:hint="eastAsia"/>
                <w:szCs w:val="24"/>
              </w:rPr>
              <w:t>磋商报价（30分）</w:t>
            </w:r>
          </w:p>
        </w:tc>
        <w:tc>
          <w:tcPr>
            <w:tcW w:w="8114" w:type="dxa"/>
            <w:vAlign w:val="center"/>
          </w:tcPr>
          <w:p>
            <w:pPr>
              <w:rPr>
                <w:rFonts w:ascii="宋体" w:hAnsi="宋体"/>
                <w:sz w:val="24"/>
                <w:szCs w:val="24"/>
              </w:rPr>
            </w:pPr>
            <w:r>
              <w:rPr>
                <w:rFonts w:hint="eastAsia" w:ascii="宋体" w:hAnsi="宋体"/>
                <w:sz w:val="24"/>
                <w:szCs w:val="24"/>
              </w:rPr>
              <w:t>通过初步审核的有效报价，进入价格评议环节。</w:t>
            </w:r>
          </w:p>
          <w:p>
            <w:pPr>
              <w:rPr>
                <w:rFonts w:ascii="宋体" w:hAnsi="宋体"/>
                <w:sz w:val="24"/>
                <w:szCs w:val="24"/>
              </w:rPr>
            </w:pPr>
            <w:r>
              <w:rPr>
                <w:rFonts w:hint="eastAsia" w:ascii="宋体" w:hAnsi="宋体"/>
                <w:sz w:val="24"/>
                <w:szCs w:val="24"/>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sz w:val="24"/>
                <w:szCs w:val="24"/>
              </w:rPr>
            </w:pPr>
            <w:r>
              <w:rPr>
                <w:rFonts w:hint="eastAsia" w:ascii="宋体" w:hAnsi="宋体"/>
                <w:sz w:val="24"/>
                <w:szCs w:val="24"/>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trPr>
        <w:tc>
          <w:tcPr>
            <w:tcW w:w="1526" w:type="dxa"/>
            <w:vAlign w:val="center"/>
          </w:tcPr>
          <w:p>
            <w:pPr>
              <w:pStyle w:val="6"/>
              <w:jc w:val="center"/>
              <w:rPr>
                <w:szCs w:val="24"/>
              </w:rPr>
            </w:pPr>
            <w:r>
              <w:rPr>
                <w:rFonts w:hint="eastAsia"/>
                <w:szCs w:val="24"/>
              </w:rPr>
              <w:t>技术（45分）</w:t>
            </w:r>
          </w:p>
        </w:tc>
        <w:tc>
          <w:tcPr>
            <w:tcW w:w="8114" w:type="dxa"/>
            <w:vAlign w:val="center"/>
          </w:tcPr>
          <w:p>
            <w:pPr>
              <w:rPr>
                <w:rFonts w:ascii="宋体" w:hAnsi="宋体"/>
                <w:sz w:val="24"/>
                <w:szCs w:val="24"/>
              </w:rPr>
            </w:pPr>
            <w:r>
              <w:rPr>
                <w:rFonts w:hint="eastAsia" w:ascii="宋体" w:hAnsi="宋体"/>
                <w:sz w:val="24"/>
                <w:szCs w:val="24"/>
              </w:rPr>
              <w:t>1．技术指标全部符合招标要求得45分。</w:t>
            </w:r>
          </w:p>
          <w:p>
            <w:pPr>
              <w:ind w:left="421" w:leftChars="3" w:hanging="415" w:hangingChars="173"/>
              <w:rPr>
                <w:rFonts w:ascii="宋体" w:hAnsi="宋体"/>
                <w:sz w:val="24"/>
                <w:szCs w:val="24"/>
              </w:rPr>
            </w:pPr>
            <w:r>
              <w:rPr>
                <w:rFonts w:hint="eastAsia" w:ascii="宋体" w:hAnsi="宋体"/>
                <w:sz w:val="24"/>
                <w:szCs w:val="24"/>
              </w:rPr>
              <w:t>2．未标注“*”号的一般性技术参数不满足招标要求的，每一项减2分。</w:t>
            </w:r>
          </w:p>
          <w:p>
            <w:pPr>
              <w:rPr>
                <w:rFonts w:ascii="宋体" w:hAnsi="宋体"/>
                <w:sz w:val="24"/>
                <w:szCs w:val="24"/>
              </w:rPr>
            </w:pPr>
            <w:r>
              <w:rPr>
                <w:rFonts w:hint="eastAsia" w:ascii="宋体" w:hAnsi="宋体"/>
                <w:sz w:val="24"/>
                <w:szCs w:val="24"/>
              </w:rPr>
              <w:t>3．标注“*”号的重要性技术</w:t>
            </w:r>
            <w:r>
              <w:rPr>
                <w:rFonts w:ascii="宋体" w:hAnsi="宋体"/>
                <w:sz w:val="24"/>
                <w:szCs w:val="24"/>
              </w:rPr>
              <w:t>参数</w:t>
            </w:r>
            <w:r>
              <w:rPr>
                <w:rFonts w:hint="eastAsia" w:ascii="宋体" w:hAnsi="宋体"/>
                <w:sz w:val="24"/>
                <w:szCs w:val="24"/>
              </w:rPr>
              <w:t>不满足招标要求的，每一项减4分。(供应商在磋商文件中必须载明所投设备的技术证明或检测报告，以及参数部分或彩色宣传资料等证明材料)</w:t>
            </w:r>
          </w:p>
          <w:p>
            <w:pPr>
              <w:rPr>
                <w:rFonts w:ascii="宋体" w:hAnsi="宋体"/>
                <w:sz w:val="24"/>
                <w:szCs w:val="24"/>
              </w:rPr>
            </w:pPr>
            <w:r>
              <w:rPr>
                <w:rFonts w:hint="eastAsia" w:ascii="宋体" w:hAnsi="宋体"/>
                <w:sz w:val="24"/>
                <w:szCs w:val="24"/>
              </w:rPr>
              <w:t>4. 磋商文件中没有提供原厂技术证明或检测报告，以及参数部分或彩色宣传资料等证明材料将减10分。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trPr>
        <w:tc>
          <w:tcPr>
            <w:tcW w:w="1526" w:type="dxa"/>
            <w:vAlign w:val="center"/>
          </w:tcPr>
          <w:p>
            <w:pPr>
              <w:pStyle w:val="6"/>
              <w:jc w:val="center"/>
              <w:rPr>
                <w:kern w:val="2"/>
                <w:szCs w:val="24"/>
              </w:rPr>
            </w:pPr>
            <w:r>
              <w:rPr>
                <w:rFonts w:hint="eastAsia"/>
                <w:kern w:val="2"/>
                <w:szCs w:val="24"/>
              </w:rPr>
              <w:t>技术优势（5分）</w:t>
            </w:r>
          </w:p>
        </w:tc>
        <w:tc>
          <w:tcPr>
            <w:tcW w:w="8114" w:type="dxa"/>
            <w:vAlign w:val="center"/>
          </w:tcPr>
          <w:p>
            <w:pPr>
              <w:rPr>
                <w:rFonts w:ascii="宋体" w:hAnsi="宋体"/>
                <w:sz w:val="24"/>
                <w:szCs w:val="24"/>
              </w:rPr>
            </w:pPr>
            <w:r>
              <w:rPr>
                <w:rFonts w:hint="eastAsia" w:ascii="宋体" w:hAnsi="宋体"/>
                <w:sz w:val="24"/>
                <w:szCs w:val="24"/>
              </w:rPr>
              <w:t>1.</w:t>
            </w:r>
            <w:r>
              <w:rPr>
                <w:rFonts w:hint="eastAsia"/>
                <w:sz w:val="24"/>
                <w:szCs w:val="24"/>
              </w:rPr>
              <w:t>产品性能评价：</w:t>
            </w:r>
            <w:r>
              <w:rPr>
                <w:rFonts w:hint="eastAsia" w:ascii="宋体" w:hAnsi="宋体"/>
                <w:sz w:val="24"/>
                <w:szCs w:val="24"/>
              </w:rPr>
              <w:t>由评审专家以使用经验和产品说明为依据进行给分，综合评比优得3分、一般得1-2分；</w:t>
            </w:r>
          </w:p>
          <w:p>
            <w:pPr>
              <w:rPr>
                <w:rFonts w:ascii="宋体" w:hAnsi="宋体"/>
                <w:sz w:val="24"/>
                <w:szCs w:val="24"/>
              </w:rPr>
            </w:pPr>
            <w:r>
              <w:rPr>
                <w:rFonts w:hint="eastAsia" w:ascii="宋体" w:hAnsi="宋体"/>
                <w:sz w:val="24"/>
                <w:szCs w:val="24"/>
              </w:rPr>
              <w:t>2．竞标产品生产工艺水平有优势且有技术资料证明的得1分。</w:t>
            </w:r>
          </w:p>
          <w:p>
            <w:pPr>
              <w:rPr>
                <w:rFonts w:ascii="宋体" w:hAnsi="宋体"/>
                <w:sz w:val="24"/>
                <w:szCs w:val="24"/>
              </w:rPr>
            </w:pPr>
            <w:r>
              <w:rPr>
                <w:rFonts w:hint="eastAsia" w:ascii="宋体" w:hAnsi="宋体"/>
                <w:sz w:val="24"/>
                <w:szCs w:val="24"/>
              </w:rPr>
              <w:t>3．产品在将来使用过程中环保、节能、损耗小且有技术资料说明的得1分。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526" w:type="dxa"/>
            <w:vAlign w:val="center"/>
          </w:tcPr>
          <w:p>
            <w:pPr>
              <w:pStyle w:val="6"/>
              <w:jc w:val="center"/>
              <w:rPr>
                <w:szCs w:val="24"/>
              </w:rPr>
            </w:pPr>
            <w:r>
              <w:rPr>
                <w:rFonts w:hint="eastAsia"/>
                <w:szCs w:val="24"/>
              </w:rPr>
              <w:t>用户使用评价（4分）</w:t>
            </w:r>
          </w:p>
        </w:tc>
        <w:tc>
          <w:tcPr>
            <w:tcW w:w="8114" w:type="dxa"/>
            <w:vAlign w:val="center"/>
          </w:tcPr>
          <w:p>
            <w:pPr>
              <w:rPr>
                <w:rFonts w:ascii="宋体" w:hAnsi="宋体"/>
                <w:sz w:val="24"/>
                <w:szCs w:val="24"/>
              </w:rPr>
            </w:pPr>
            <w:r>
              <w:rPr>
                <w:rFonts w:hint="eastAsia" w:ascii="宋体" w:hAnsi="宋体"/>
                <w:sz w:val="24"/>
                <w:szCs w:val="24"/>
              </w:rPr>
              <w:t>提供近两年（202</w:t>
            </w:r>
            <w:r>
              <w:rPr>
                <w:rFonts w:hint="eastAsia" w:ascii="宋体" w:hAnsi="宋体"/>
                <w:sz w:val="24"/>
                <w:szCs w:val="24"/>
                <w:lang w:val="en-US" w:eastAsia="zh-CN"/>
              </w:rPr>
              <w:t>1</w:t>
            </w:r>
            <w:r>
              <w:rPr>
                <w:rFonts w:hint="eastAsia" w:ascii="宋体" w:hAnsi="宋体"/>
                <w:sz w:val="24"/>
                <w:szCs w:val="24"/>
              </w:rPr>
              <w:t>年1月1日至今）类似中标产品用户使用情况和售后服务评价（必须加盖用户公章并提供用户有效的联系方式）的一项得1分。最多得4分，没有提供或有不良反映的不得分。</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26" w:type="dxa"/>
            <w:vAlign w:val="center"/>
          </w:tcPr>
          <w:p>
            <w:pPr>
              <w:jc w:val="center"/>
              <w:rPr>
                <w:rFonts w:ascii="宋体" w:hAnsi="宋体"/>
                <w:sz w:val="24"/>
                <w:szCs w:val="24"/>
              </w:rPr>
            </w:pPr>
            <w:r>
              <w:rPr>
                <w:rFonts w:hint="eastAsia" w:ascii="宋体" w:hAnsi="宋体"/>
                <w:sz w:val="24"/>
                <w:szCs w:val="24"/>
              </w:rPr>
              <w:t>质保期</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供应商承诺质保期实质性优于采购文件要求的每延长一年加1分，最高得2分。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1526" w:type="dxa"/>
            <w:vAlign w:val="center"/>
          </w:tcPr>
          <w:p>
            <w:pPr>
              <w:jc w:val="center"/>
              <w:rPr>
                <w:rFonts w:ascii="宋体" w:hAnsi="宋体"/>
                <w:sz w:val="24"/>
                <w:szCs w:val="24"/>
              </w:rPr>
            </w:pPr>
            <w:r>
              <w:rPr>
                <w:rFonts w:hint="eastAsia" w:ascii="宋体" w:hAnsi="宋体"/>
                <w:sz w:val="24"/>
                <w:szCs w:val="24"/>
              </w:rPr>
              <w:t>信誉</w:t>
            </w:r>
          </w:p>
          <w:p>
            <w:pPr>
              <w:jc w:val="center"/>
              <w:rPr>
                <w:rFonts w:ascii="宋体" w:hAnsi="宋体"/>
                <w:sz w:val="24"/>
                <w:szCs w:val="24"/>
              </w:rPr>
            </w:pPr>
            <w:r>
              <w:rPr>
                <w:rFonts w:hint="eastAsia" w:ascii="宋体" w:hAnsi="宋体"/>
                <w:sz w:val="24"/>
                <w:szCs w:val="24"/>
              </w:rPr>
              <w:t>（3分）</w:t>
            </w:r>
          </w:p>
        </w:tc>
        <w:tc>
          <w:tcPr>
            <w:tcW w:w="8114" w:type="dxa"/>
            <w:vAlign w:val="center"/>
          </w:tcPr>
          <w:p>
            <w:pPr>
              <w:rPr>
                <w:rFonts w:ascii="宋体" w:hAnsi="宋体"/>
                <w:sz w:val="24"/>
                <w:szCs w:val="24"/>
              </w:rPr>
            </w:pPr>
            <w:r>
              <w:rPr>
                <w:rFonts w:hint="eastAsia" w:ascii="宋体" w:hAnsi="宋体"/>
                <w:sz w:val="24"/>
                <w:szCs w:val="24"/>
              </w:rPr>
              <w:t>1．产品宣传的客观性、技术参数响应的真实综合评标优得2分，一般得0-1分。</w:t>
            </w:r>
          </w:p>
          <w:p>
            <w:pPr>
              <w:rPr>
                <w:rFonts w:ascii="宋体" w:hAnsi="宋体"/>
                <w:sz w:val="24"/>
                <w:szCs w:val="24"/>
              </w:rPr>
            </w:pPr>
            <w:r>
              <w:rPr>
                <w:rFonts w:hint="eastAsia" w:ascii="宋体" w:hAnsi="宋体"/>
                <w:sz w:val="24"/>
                <w:szCs w:val="24"/>
              </w:rPr>
              <w:t>2．磋商报价的合理性、合同执行的守信度、服务及时周到与否，以及有无不良记录、违约欺骗情况综合评标优得1分，一般得0-0.5分。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1526" w:type="dxa"/>
            <w:vAlign w:val="center"/>
          </w:tcPr>
          <w:p>
            <w:pPr>
              <w:jc w:val="center"/>
              <w:rPr>
                <w:rFonts w:ascii="宋体" w:hAnsi="宋体"/>
                <w:sz w:val="24"/>
                <w:szCs w:val="24"/>
              </w:rPr>
            </w:pPr>
            <w:r>
              <w:rPr>
                <w:rFonts w:hint="eastAsia" w:ascii="宋体" w:hAnsi="宋体"/>
                <w:sz w:val="24"/>
                <w:szCs w:val="24"/>
              </w:rPr>
              <w:t>市场占有率（4分）</w:t>
            </w:r>
          </w:p>
        </w:tc>
        <w:tc>
          <w:tcPr>
            <w:tcW w:w="8114" w:type="dxa"/>
            <w:vAlign w:val="center"/>
          </w:tcPr>
          <w:p>
            <w:pPr>
              <w:rPr>
                <w:rFonts w:ascii="宋体" w:hAnsi="宋体"/>
                <w:sz w:val="24"/>
                <w:szCs w:val="24"/>
              </w:rPr>
            </w:pPr>
            <w:r>
              <w:rPr>
                <w:rFonts w:hint="eastAsia" w:ascii="宋体" w:hAnsi="宋体"/>
                <w:sz w:val="24"/>
                <w:szCs w:val="24"/>
              </w:rPr>
              <w:t>磋商企业类似产品销售业绩或提供所投该机型的厂家或代理商的销售业绩（包含有本项目所投产品至少一项）。提供真实有效的合同复印件或中标通知书为准，每项得1分，最高得4分。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1526" w:type="dxa"/>
            <w:vAlign w:val="center"/>
          </w:tcPr>
          <w:p>
            <w:pPr>
              <w:jc w:val="center"/>
              <w:rPr>
                <w:rFonts w:ascii="宋体" w:hAnsi="宋体"/>
                <w:sz w:val="24"/>
                <w:szCs w:val="24"/>
              </w:rPr>
            </w:pPr>
            <w:r>
              <w:rPr>
                <w:rFonts w:hint="eastAsia" w:ascii="宋体" w:hAnsi="宋体"/>
                <w:sz w:val="24"/>
                <w:szCs w:val="24"/>
              </w:rPr>
              <w:t>服务（5分）</w:t>
            </w:r>
          </w:p>
        </w:tc>
        <w:tc>
          <w:tcPr>
            <w:tcW w:w="8114" w:type="dxa"/>
            <w:vAlign w:val="center"/>
          </w:tcPr>
          <w:p>
            <w:pPr>
              <w:rPr>
                <w:rFonts w:ascii="宋体" w:hAnsi="宋体"/>
                <w:sz w:val="24"/>
                <w:szCs w:val="24"/>
              </w:rPr>
            </w:pPr>
            <w:r>
              <w:rPr>
                <w:rFonts w:hint="eastAsia" w:ascii="宋体" w:hAnsi="宋体"/>
                <w:sz w:val="24"/>
                <w:szCs w:val="24"/>
              </w:rPr>
              <w:t>1．响应标书售后要求并有完备的售后服务体系的得1分。</w:t>
            </w:r>
          </w:p>
          <w:p>
            <w:pPr>
              <w:rPr>
                <w:rFonts w:ascii="宋体" w:hAnsi="宋体"/>
                <w:sz w:val="24"/>
                <w:szCs w:val="24"/>
              </w:rPr>
            </w:pPr>
            <w:r>
              <w:rPr>
                <w:rFonts w:hint="eastAsia" w:ascii="宋体" w:hAnsi="宋体"/>
                <w:sz w:val="24"/>
                <w:szCs w:val="24"/>
              </w:rPr>
              <w:t>2．提供产品服务的省内分支机构情况的得1分。</w:t>
            </w:r>
          </w:p>
          <w:p>
            <w:pPr>
              <w:rPr>
                <w:rFonts w:ascii="宋体" w:hAnsi="宋体"/>
                <w:sz w:val="24"/>
                <w:szCs w:val="24"/>
              </w:rPr>
            </w:pPr>
            <w:r>
              <w:rPr>
                <w:rFonts w:hint="eastAsia" w:ascii="宋体" w:hAnsi="宋体"/>
                <w:sz w:val="24"/>
                <w:szCs w:val="24"/>
              </w:rPr>
              <w:t>3．根据供应商服务网点分布情况及数量、有针对性强的人员培训方案及售后服务方案进行评比。方案切合实际、高度契合采购要求的得3分；方案基本合理，基本满足采购要求的得2分，其它得0-1分。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526" w:type="dxa"/>
            <w:vAlign w:val="center"/>
          </w:tcPr>
          <w:p>
            <w:pPr>
              <w:jc w:val="center"/>
              <w:rPr>
                <w:rFonts w:ascii="宋体" w:hAnsi="宋体"/>
                <w:sz w:val="24"/>
                <w:szCs w:val="24"/>
              </w:rPr>
            </w:pPr>
            <w:r>
              <w:rPr>
                <w:rFonts w:hint="eastAsia" w:ascii="宋体" w:hAnsi="宋体"/>
                <w:sz w:val="24"/>
                <w:szCs w:val="24"/>
              </w:rPr>
              <w:t>竞争性磋商文件制作</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磋商文件编制完整、精致、全面响应竞争性磋商文件，逐页有连续页码、有详细目录、目录与有关材料装订顺序对应清晰、查阅方便，得2分。磋商文件制作一般得0-1分。</w:t>
            </w:r>
          </w:p>
        </w:tc>
      </w:tr>
    </w:tbl>
    <w:p>
      <w:pPr>
        <w:pStyle w:val="2"/>
        <w:rPr>
          <w:rFonts w:hAnsi="宋体"/>
          <w:sz w:val="24"/>
          <w:szCs w:val="24"/>
        </w:rPr>
      </w:pPr>
      <w:bookmarkStart w:id="32" w:name="_Toc528493579"/>
      <w:bookmarkStart w:id="33" w:name="_Toc528493086"/>
      <w:bookmarkStart w:id="34" w:name="_Toc528493167"/>
      <w:bookmarkStart w:id="35" w:name="_Toc528494285"/>
      <w:bookmarkStart w:id="36" w:name="_Toc528493134"/>
    </w:p>
    <w:p>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hint="eastAsia" w:ascii="宋体" w:hAnsi="宋体" w:eastAsia="宋体" w:cs="宋体"/>
          <w:sz w:val="24"/>
        </w:rPr>
      </w:pPr>
      <w:bookmarkStart w:id="37" w:name="_Toc528493580"/>
      <w:bookmarkStart w:id="38" w:name="_Toc528493087"/>
      <w:bookmarkStart w:id="39" w:name="_Hlk18936003"/>
      <w:bookmarkStart w:id="40" w:name="_Toc528493135"/>
      <w:bookmarkStart w:id="41" w:name="_Toc528494286"/>
      <w:bookmarkStart w:id="42" w:name="_Toc528493168"/>
      <w:r>
        <w:rPr>
          <w:rFonts w:ascii="宋体" w:hAnsi="宋体" w:cs="宋体"/>
          <w:sz w:val="24"/>
        </w:rPr>
        <w:t>1.</w:t>
      </w:r>
      <w:r>
        <w:rPr>
          <w:rFonts w:hint="eastAsia" w:ascii="宋体" w:hAnsi="宋体" w:cs="宋体"/>
          <w:sz w:val="24"/>
        </w:rPr>
        <w:t>项目名称：黄石市中心医</w:t>
      </w:r>
      <w:r>
        <w:rPr>
          <w:rFonts w:hint="eastAsia" w:ascii="宋体" w:hAnsi="宋体" w:eastAsia="宋体" w:cs="宋体"/>
          <w:sz w:val="24"/>
        </w:rPr>
        <w:t>院</w:t>
      </w:r>
      <w:r>
        <w:rPr>
          <w:rFonts w:hint="eastAsia" w:ascii="宋体" w:hAnsi="宋体" w:eastAsia="宋体" w:cs="宋体"/>
          <w:sz w:val="24"/>
          <w:lang w:val="en-US" w:eastAsia="zh-CN"/>
        </w:rPr>
        <w:t>妇科LEE刀</w:t>
      </w:r>
      <w:r>
        <w:rPr>
          <w:rFonts w:hint="eastAsia" w:ascii="宋体" w:hAnsi="宋体" w:eastAsia="宋体" w:cs="宋体"/>
          <w:sz w:val="24"/>
        </w:rPr>
        <w:t>采购项目</w:t>
      </w:r>
    </w:p>
    <w:p>
      <w:pPr>
        <w:spacing w:line="420" w:lineRule="exact"/>
        <w:ind w:firstLine="480" w:firstLineChars="200"/>
        <w:rPr>
          <w:rFonts w:hint="eastAsia" w:ascii="宋体" w:hAnsi="宋体" w:eastAsia="宋体" w:cs="宋体"/>
          <w:sz w:val="24"/>
        </w:rPr>
      </w:pPr>
      <w:r>
        <w:rPr>
          <w:rFonts w:hint="eastAsia" w:ascii="宋体" w:hAnsi="宋体" w:eastAsia="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6</w:t>
      </w:r>
      <w:r>
        <w:rPr>
          <w:rFonts w:hint="eastAsia" w:ascii="宋体" w:hAnsi="宋体" w:cs="宋体"/>
          <w:sz w:val="24"/>
        </w:rPr>
        <w:t>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w:t>
      </w:r>
      <w:r>
        <w:rPr>
          <w:rFonts w:hint="eastAsia" w:ascii="宋体" w:hAnsi="宋体" w:cs="宋体"/>
          <w:sz w:val="24"/>
          <w:lang w:val="en-US" w:eastAsia="zh-CN"/>
        </w:rPr>
        <w:t>1台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pStyle w:val="12"/>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患者漏电流及患者辅助电流要求正常状态下≤0.01mA，单一故障状态下≤0.05mA</w:t>
      </w:r>
      <w:r>
        <w:rPr>
          <w:rFonts w:hint="eastAsia" w:ascii="宋体" w:hAnsi="宋体" w:cs="宋体"/>
          <w:sz w:val="24"/>
          <w:lang w:eastAsia="zh-CN"/>
        </w:rPr>
        <w:t>（</w:t>
      </w:r>
      <w:r>
        <w:rPr>
          <w:rFonts w:hint="eastAsia" w:ascii="宋体" w:hAnsi="宋体" w:cs="宋体"/>
          <w:sz w:val="24"/>
        </w:rPr>
        <w:t>提供证明其功能的CFDA注册检测报告</w:t>
      </w:r>
      <w:r>
        <w:rPr>
          <w:rFonts w:hint="eastAsia" w:ascii="宋体" w:hAnsi="宋体" w:cs="宋体"/>
          <w:sz w:val="24"/>
          <w:lang w:eastAsia="zh-CN"/>
        </w:rPr>
        <w:t>）</w:t>
      </w:r>
      <w:r>
        <w:rPr>
          <w:rFonts w:hint="eastAsia" w:ascii="宋体" w:hAnsi="宋体" w:cs="宋体"/>
          <w:sz w:val="24"/>
        </w:rPr>
        <w:t xml:space="preserve">； </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具有功率输出自动补偿功能，针对不同人体组织自动调节输出功率达到最佳切割和凝血效果</w:t>
      </w:r>
      <w:r>
        <w:rPr>
          <w:rFonts w:hint="eastAsia" w:ascii="宋体" w:hAnsi="宋体" w:cs="宋体"/>
          <w:sz w:val="24"/>
          <w:lang w:eastAsia="zh-CN"/>
        </w:rPr>
        <w:t>（</w:t>
      </w:r>
      <w:r>
        <w:rPr>
          <w:rFonts w:hint="eastAsia" w:ascii="宋体" w:hAnsi="宋体" w:cs="宋体"/>
          <w:sz w:val="24"/>
        </w:rPr>
        <w:t>提供证明其功能的CFDA注册检测报告</w:t>
      </w:r>
      <w:r>
        <w:rPr>
          <w:rFonts w:hint="eastAsia" w:ascii="宋体" w:hAnsi="宋体" w:cs="宋体"/>
          <w:sz w:val="24"/>
          <w:lang w:eastAsia="zh-CN"/>
        </w:rPr>
        <w:t>）</w:t>
      </w:r>
      <w:r>
        <w:rPr>
          <w:rFonts w:hint="eastAsia" w:ascii="宋体" w:hAnsi="宋体" w:cs="宋体"/>
          <w:sz w:val="24"/>
        </w:rPr>
        <w:t>；</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安全标准</w:t>
      </w:r>
      <w:r>
        <w:rPr>
          <w:rFonts w:hint="eastAsia" w:ascii="宋体" w:hAnsi="宋体" w:cs="宋体"/>
          <w:sz w:val="24"/>
          <w:lang w:eastAsia="zh-CN"/>
        </w:rPr>
        <w:t>至少达到</w:t>
      </w:r>
      <w:r>
        <w:rPr>
          <w:rFonts w:hint="eastAsia" w:ascii="宋体" w:hAnsi="宋体" w:cs="宋体"/>
          <w:sz w:val="24"/>
        </w:rPr>
        <w:t>：CF型，带除颤保护，I类输出，符合国标GB9706.1-2007和专标9706.4-2009安全标准</w:t>
      </w:r>
      <w:r>
        <w:rPr>
          <w:rFonts w:hint="eastAsia" w:ascii="宋体" w:hAnsi="宋体" w:cs="宋体"/>
          <w:sz w:val="24"/>
          <w:lang w:eastAsia="zh-CN"/>
        </w:rPr>
        <w:t>；</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★工作频率：强力电切、精细电切/内窥频率</w:t>
      </w:r>
      <w:r>
        <w:rPr>
          <w:rFonts w:hint="eastAsia" w:ascii="宋体" w:hAnsi="宋体" w:cs="宋体"/>
          <w:sz w:val="24"/>
          <w:lang w:eastAsia="zh-CN"/>
        </w:rPr>
        <w:t>至少达到</w:t>
      </w:r>
      <w:r>
        <w:rPr>
          <w:rFonts w:hint="eastAsia" w:ascii="宋体" w:hAnsi="宋体" w:cs="宋体"/>
          <w:sz w:val="24"/>
        </w:rPr>
        <w:t>3</w:t>
      </w:r>
      <w:r>
        <w:rPr>
          <w:rFonts w:hint="eastAsia" w:ascii="宋体" w:hAnsi="宋体" w:cs="宋体"/>
          <w:sz w:val="24"/>
          <w:lang w:val="en-US" w:eastAsia="zh-CN"/>
        </w:rPr>
        <w:t>0</w:t>
      </w:r>
      <w:r>
        <w:rPr>
          <w:rFonts w:hint="eastAsia" w:ascii="宋体" w:hAnsi="宋体" w:cs="宋体"/>
          <w:sz w:val="24"/>
        </w:rPr>
        <w:t>0kHz,凝血频率</w:t>
      </w:r>
      <w:r>
        <w:rPr>
          <w:rFonts w:hint="eastAsia" w:ascii="宋体" w:hAnsi="宋体" w:cs="宋体"/>
          <w:sz w:val="24"/>
          <w:lang w:eastAsia="zh-CN"/>
        </w:rPr>
        <w:t>至少达到</w:t>
      </w:r>
      <w:r>
        <w:rPr>
          <w:rFonts w:hint="eastAsia" w:ascii="宋体" w:hAnsi="宋体" w:cs="宋体"/>
          <w:sz w:val="24"/>
        </w:rPr>
        <w:t>4</w:t>
      </w:r>
      <w:r>
        <w:rPr>
          <w:rFonts w:hint="eastAsia" w:ascii="宋体" w:hAnsi="宋体" w:cs="宋体"/>
          <w:sz w:val="24"/>
          <w:lang w:val="en-US" w:eastAsia="zh-CN"/>
        </w:rPr>
        <w:t>0</w:t>
      </w:r>
      <w:r>
        <w:rPr>
          <w:rFonts w:hint="eastAsia" w:ascii="宋体" w:hAnsi="宋体" w:cs="宋体"/>
          <w:sz w:val="24"/>
        </w:rPr>
        <w:t>0kHz，双极频率</w:t>
      </w:r>
      <w:r>
        <w:rPr>
          <w:rFonts w:hint="eastAsia" w:ascii="宋体" w:hAnsi="宋体" w:cs="宋体"/>
          <w:sz w:val="24"/>
          <w:lang w:eastAsia="zh-CN"/>
        </w:rPr>
        <w:t>至少达到</w:t>
      </w:r>
      <w:r>
        <w:rPr>
          <w:rFonts w:hint="eastAsia" w:ascii="宋体" w:hAnsi="宋体" w:cs="宋体"/>
          <w:sz w:val="24"/>
        </w:rPr>
        <w:t>1MHz</w:t>
      </w:r>
      <w:r>
        <w:rPr>
          <w:rFonts w:hint="eastAsia" w:ascii="宋体" w:hAnsi="宋体" w:cs="宋体"/>
          <w:sz w:val="24"/>
          <w:lang w:eastAsia="zh-CN"/>
        </w:rPr>
        <w:t>（提</w:t>
      </w:r>
      <w:r>
        <w:rPr>
          <w:rFonts w:hint="eastAsia" w:ascii="宋体" w:hAnsi="宋体" w:cs="宋体"/>
          <w:sz w:val="24"/>
        </w:rPr>
        <w:t>供证明</w:t>
      </w:r>
      <w:r>
        <w:rPr>
          <w:rFonts w:hint="eastAsia" w:ascii="宋体" w:hAnsi="宋体" w:cs="宋体"/>
          <w:sz w:val="24"/>
          <w:lang w:eastAsia="zh-CN"/>
        </w:rPr>
        <w:t>资料）</w:t>
      </w:r>
      <w:r>
        <w:rPr>
          <w:rFonts w:hint="eastAsia" w:ascii="宋体" w:hAnsi="宋体" w:cs="宋体"/>
          <w:sz w:val="24"/>
        </w:rPr>
        <w:t>；</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★输出功率：整机输出功率</w:t>
      </w:r>
      <w:r>
        <w:rPr>
          <w:rFonts w:hint="eastAsia" w:ascii="宋体" w:hAnsi="宋体" w:cs="宋体"/>
          <w:sz w:val="24"/>
          <w:lang w:eastAsia="zh-CN"/>
        </w:rPr>
        <w:t>范围至少达到</w:t>
      </w:r>
      <w:r>
        <w:rPr>
          <w:rFonts w:hint="eastAsia" w:ascii="宋体" w:hAnsi="宋体" w:cs="宋体"/>
          <w:sz w:val="24"/>
        </w:rPr>
        <w:t>0～200 W，</w:t>
      </w:r>
      <w:r>
        <w:rPr>
          <w:rFonts w:hint="eastAsia" w:ascii="宋体" w:hAnsi="宋体" w:cs="宋体"/>
          <w:sz w:val="24"/>
          <w:lang w:eastAsia="zh-CN"/>
        </w:rPr>
        <w:t>最小</w:t>
      </w:r>
      <w:r>
        <w:rPr>
          <w:rFonts w:hint="eastAsia" w:ascii="宋体" w:hAnsi="宋体" w:cs="宋体"/>
          <w:sz w:val="24"/>
        </w:rPr>
        <w:t>调节精细1W可调</w:t>
      </w:r>
      <w:r>
        <w:rPr>
          <w:rFonts w:hint="eastAsia" w:ascii="宋体" w:hAnsi="宋体" w:cs="宋体"/>
          <w:sz w:val="24"/>
          <w:lang w:eastAsia="zh-CN"/>
        </w:rPr>
        <w:t>（</w:t>
      </w:r>
      <w:r>
        <w:rPr>
          <w:rFonts w:hint="eastAsia" w:ascii="宋体" w:hAnsi="宋体" w:cs="宋体"/>
          <w:sz w:val="24"/>
        </w:rPr>
        <w:t>提供证明</w:t>
      </w:r>
      <w:r>
        <w:rPr>
          <w:rFonts w:hint="eastAsia" w:ascii="宋体" w:hAnsi="宋体" w:cs="宋体"/>
          <w:sz w:val="24"/>
          <w:lang w:eastAsia="zh-CN"/>
        </w:rPr>
        <w:t>资料）</w:t>
      </w:r>
      <w:r>
        <w:rPr>
          <w:rFonts w:hint="eastAsia" w:ascii="宋体" w:hAnsi="宋体" w:cs="宋体"/>
          <w:sz w:val="24"/>
        </w:rPr>
        <w:t>；</w:t>
      </w:r>
    </w:p>
    <w:p>
      <w:pPr>
        <w:spacing w:line="420" w:lineRule="exact"/>
        <w:ind w:firstLine="480" w:firstLineChars="200"/>
        <w:rPr>
          <w:rFonts w:hint="eastAsia" w:ascii="宋体" w:hAnsi="宋体" w:cs="宋体"/>
          <w:sz w:val="24"/>
          <w:lang w:eastAsia="zh-CN"/>
        </w:rPr>
      </w:pPr>
      <w:r>
        <w:rPr>
          <w:rFonts w:hint="eastAsia" w:ascii="宋体" w:hAnsi="宋体" w:cs="宋体"/>
          <w:sz w:val="24"/>
          <w:lang w:val="en-US" w:eastAsia="zh-CN"/>
        </w:rPr>
        <w:t>6、</w:t>
      </w:r>
      <w:r>
        <w:rPr>
          <w:rFonts w:hint="eastAsia" w:ascii="宋体" w:hAnsi="宋体" w:cs="宋体"/>
          <w:sz w:val="24"/>
        </w:rPr>
        <w:t>工作模式</w:t>
      </w:r>
      <w:r>
        <w:rPr>
          <w:rFonts w:hint="eastAsia" w:ascii="宋体" w:hAnsi="宋体" w:cs="宋体"/>
          <w:sz w:val="24"/>
          <w:lang w:eastAsia="zh-CN"/>
        </w:rPr>
        <w:t>满足下列要求：</w:t>
      </w:r>
    </w:p>
    <w:p>
      <w:pPr>
        <w:spacing w:line="420" w:lineRule="exact"/>
        <w:ind w:firstLine="480" w:firstLineChars="200"/>
        <w:rPr>
          <w:rFonts w:hint="eastAsia" w:ascii="宋体" w:hAnsi="宋体" w:cs="宋体"/>
          <w:sz w:val="24"/>
        </w:rPr>
      </w:pPr>
      <w:r>
        <w:rPr>
          <w:rFonts w:hint="eastAsia" w:ascii="宋体" w:hAnsi="宋体" w:cs="宋体"/>
          <w:sz w:val="24"/>
        </w:rPr>
        <w:t>a)三种电切模式：纯切、混切1、混切2；</w:t>
      </w:r>
    </w:p>
    <w:p>
      <w:pPr>
        <w:spacing w:line="420" w:lineRule="exact"/>
        <w:ind w:firstLine="480" w:firstLineChars="200"/>
        <w:rPr>
          <w:rFonts w:hint="eastAsia" w:ascii="宋体" w:hAnsi="宋体" w:cs="宋体"/>
          <w:sz w:val="24"/>
        </w:rPr>
      </w:pPr>
      <w:r>
        <w:rPr>
          <w:rFonts w:hint="eastAsia" w:ascii="宋体" w:hAnsi="宋体" w:cs="宋体"/>
          <w:sz w:val="24"/>
        </w:rPr>
        <w:t>b)三种电凝模式：柔凝/凝切、强凝、喷凝；</w:t>
      </w:r>
    </w:p>
    <w:p>
      <w:pPr>
        <w:spacing w:line="420" w:lineRule="exact"/>
        <w:ind w:firstLine="480" w:firstLineChars="200"/>
        <w:rPr>
          <w:rFonts w:hint="eastAsia" w:ascii="宋体" w:hAnsi="宋体" w:cs="宋体"/>
          <w:sz w:val="24"/>
        </w:rPr>
      </w:pPr>
      <w:r>
        <w:rPr>
          <w:rFonts w:hint="eastAsia" w:ascii="宋体" w:hAnsi="宋体" w:cs="宋体"/>
          <w:sz w:val="24"/>
        </w:rPr>
        <w:t>c)三种双极电凝模式：精细双极、标准双极、宏双极；</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具有开机自检和双回路安全自动监测、控制（自动监测异常并关闭功能输出）功能，</w:t>
      </w:r>
      <w:r>
        <w:rPr>
          <w:rFonts w:hint="eastAsia" w:ascii="宋体" w:hAnsi="宋体" w:cs="宋体"/>
          <w:sz w:val="24"/>
          <w:lang w:eastAsia="zh-CN"/>
        </w:rPr>
        <w:t>具备</w:t>
      </w:r>
      <w:r>
        <w:rPr>
          <w:rFonts w:hint="eastAsia" w:ascii="宋体" w:hAnsi="宋体" w:cs="宋体"/>
          <w:sz w:val="24"/>
        </w:rPr>
        <w:t xml:space="preserve">声光报警提示； </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lang w:eastAsia="zh-CN"/>
        </w:rPr>
        <w:t>具备</w:t>
      </w:r>
      <w:r>
        <w:rPr>
          <w:rFonts w:hint="eastAsia" w:ascii="宋体" w:hAnsi="宋体" w:cs="宋体"/>
          <w:sz w:val="24"/>
        </w:rPr>
        <w:t>中性电极实时监测接触质量系统，全程实时监测极板的工作状态、贴合面积及组织阻抗并以数字形式显示与操作面板上，最大程度的减少因中性电极接触面积减少而造成的灼伤风险；</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9、具备</w:t>
      </w:r>
      <w:r>
        <w:rPr>
          <w:rFonts w:hint="eastAsia" w:ascii="宋体" w:hAnsi="宋体" w:cs="宋体"/>
          <w:sz w:val="24"/>
        </w:rPr>
        <w:t>误操作报警功能；</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10、具备</w:t>
      </w:r>
      <w:r>
        <w:rPr>
          <w:rFonts w:hint="eastAsia" w:ascii="宋体" w:hAnsi="宋体" w:cs="宋体"/>
          <w:sz w:val="24"/>
        </w:rPr>
        <w:t>LED数字显示，防水按键方式调节；</w:t>
      </w:r>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工作音量可调节；</w:t>
      </w:r>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柔凝/凝切档位，具有组织的切割功能，切割的同时还具有一定的凝血效果；</w:t>
      </w:r>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具有手控或脚控功率输出功能；</w:t>
      </w:r>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可掉电保存当前电切、电凝功率设置；</w:t>
      </w:r>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具有自动电压调节功能；</w:t>
      </w:r>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6、配备</w:t>
      </w:r>
      <w:r>
        <w:rPr>
          <w:rFonts w:hint="eastAsia" w:ascii="宋体" w:hAnsi="宋体" w:cs="宋体"/>
          <w:sz w:val="24"/>
        </w:rPr>
        <w:t>绝缘专用手术台车；</w:t>
      </w:r>
    </w:p>
    <w:p>
      <w:pPr>
        <w:spacing w:line="420" w:lineRule="exact"/>
        <w:ind w:firstLine="480" w:firstLineChars="200"/>
        <w:rPr>
          <w:rFonts w:hint="eastAsia" w:ascii="宋体" w:hAnsi="宋体" w:cs="宋体"/>
          <w:sz w:val="24"/>
          <w:lang w:eastAsia="zh-CN"/>
        </w:rPr>
      </w:pPr>
      <w:r>
        <w:rPr>
          <w:rFonts w:hint="eastAsia" w:ascii="宋体" w:hAnsi="宋体" w:cs="宋体"/>
          <w:sz w:val="24"/>
        </w:rPr>
        <w:t>1</w:t>
      </w:r>
      <w:r>
        <w:rPr>
          <w:rFonts w:hint="eastAsia" w:ascii="宋体" w:hAnsi="宋体" w:cs="宋体"/>
          <w:sz w:val="24"/>
          <w:lang w:val="en-US" w:eastAsia="zh-CN"/>
        </w:rPr>
        <w:t>7、配备</w:t>
      </w:r>
      <w:r>
        <w:rPr>
          <w:rFonts w:hint="eastAsia" w:ascii="宋体" w:hAnsi="宋体" w:cs="宋体"/>
          <w:sz w:val="24"/>
        </w:rPr>
        <w:t>LEEP</w:t>
      </w:r>
      <w:r>
        <w:rPr>
          <w:rFonts w:hint="eastAsia" w:ascii="宋体" w:hAnsi="宋体" w:cs="宋体"/>
          <w:sz w:val="24"/>
          <w:lang w:eastAsia="zh-CN"/>
        </w:rPr>
        <w:t>刀</w:t>
      </w:r>
      <w:r>
        <w:rPr>
          <w:rFonts w:hint="eastAsia" w:ascii="宋体" w:hAnsi="宋体" w:cs="宋体"/>
          <w:sz w:val="24"/>
        </w:rPr>
        <w:t>手术吸烟器</w:t>
      </w:r>
      <w:r>
        <w:rPr>
          <w:rFonts w:hint="eastAsia" w:ascii="宋体" w:hAnsi="宋体" w:cs="宋体"/>
          <w:sz w:val="24"/>
          <w:lang w:eastAsia="zh-CN"/>
        </w:rPr>
        <w:t>；</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18、配备</w:t>
      </w:r>
      <w:r>
        <w:rPr>
          <w:rFonts w:hint="eastAsia" w:ascii="宋体" w:hAnsi="宋体" w:cs="宋体"/>
          <w:sz w:val="24"/>
        </w:rPr>
        <w:t>多种手术电极；</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19、</w:t>
      </w:r>
      <w:r>
        <w:rPr>
          <w:rFonts w:hint="eastAsia" w:ascii="宋体" w:hAnsi="宋体" w:cs="宋体"/>
          <w:sz w:val="24"/>
        </w:rPr>
        <w:t>吸烟器具备三级过滤方式，过滤效果可有效滤除99.99%的颗粒物；</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20、</w:t>
      </w:r>
      <w:r>
        <w:rPr>
          <w:rFonts w:hint="eastAsia" w:ascii="宋体" w:hAnsi="宋体" w:cs="宋体"/>
          <w:sz w:val="24"/>
        </w:rPr>
        <w:t>吸烟流量：≥120m3/小时,流量输出0～99级连续可调，延迟时间0～99秒可调，LED数字显示；</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21、</w:t>
      </w:r>
      <w:r>
        <w:rPr>
          <w:rFonts w:hint="eastAsia" w:ascii="宋体" w:hAnsi="宋体" w:cs="宋体"/>
          <w:sz w:val="24"/>
        </w:rPr>
        <w:t>★吸烟器操作方式具有与LEEP刀电磁感应式自启动功能，无需脚踏控制，吸烟关闭延迟时间设置可调；</w:t>
      </w:r>
    </w:p>
    <w:p>
      <w:pPr>
        <w:spacing w:line="420" w:lineRule="exact"/>
        <w:ind w:firstLine="480" w:firstLineChars="200"/>
        <w:rPr>
          <w:rFonts w:hint="eastAsia" w:ascii="宋体" w:hAnsi="宋体" w:cs="宋体"/>
          <w:sz w:val="24"/>
          <w:lang w:eastAsia="zh-CN"/>
        </w:rPr>
      </w:pPr>
      <w:r>
        <w:rPr>
          <w:rFonts w:hint="eastAsia" w:ascii="宋体" w:hAnsi="宋体" w:cs="宋体"/>
          <w:sz w:val="24"/>
          <w:lang w:val="en-US" w:eastAsia="zh-CN"/>
        </w:rPr>
        <w:t>22、</w:t>
      </w:r>
      <w:r>
        <w:rPr>
          <w:rFonts w:hint="eastAsia" w:ascii="宋体" w:hAnsi="宋体" w:cs="宋体"/>
          <w:sz w:val="24"/>
          <w:lang w:eastAsia="zh-CN"/>
        </w:rPr>
        <w:t>配备</w:t>
      </w:r>
      <w:r>
        <w:rPr>
          <w:rFonts w:hint="eastAsia" w:ascii="宋体" w:hAnsi="宋体" w:cs="宋体"/>
          <w:sz w:val="24"/>
        </w:rPr>
        <w:t>可消毒专用带烟道绝缘窥器</w:t>
      </w:r>
      <w:r>
        <w:rPr>
          <w:rFonts w:hint="eastAsia" w:ascii="宋体" w:hAnsi="宋体" w:cs="宋体"/>
          <w:sz w:val="24"/>
          <w:lang w:eastAsia="zh-CN"/>
        </w:rPr>
        <w:t>；</w:t>
      </w:r>
    </w:p>
    <w:p>
      <w:pPr>
        <w:spacing w:line="42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23、本设备整机免费保修三年起。</w:t>
      </w:r>
    </w:p>
    <w:p>
      <w:pPr>
        <w:spacing w:line="420" w:lineRule="exact"/>
        <w:ind w:firstLine="480" w:firstLineChars="200"/>
        <w:rPr>
          <w:rFonts w:hint="default" w:ascii="宋体" w:hAnsi="宋体" w:cs="宋体"/>
          <w:sz w:val="24"/>
          <w:lang w:val="en-US" w:eastAsia="zh-CN"/>
        </w:rPr>
      </w:pPr>
    </w:p>
    <w:p>
      <w:pPr>
        <w:spacing w:line="420" w:lineRule="exact"/>
        <w:ind w:firstLine="480" w:firstLineChars="200"/>
        <w:rPr>
          <w:rFonts w:hint="eastAsia" w:ascii="宋体" w:hAnsi="宋体" w:cs="宋体"/>
          <w:sz w:val="24"/>
        </w:rPr>
      </w:pPr>
    </w:p>
    <w:p>
      <w:pPr>
        <w:spacing w:line="420" w:lineRule="exact"/>
        <w:ind w:firstLine="480" w:firstLineChars="200"/>
        <w:rPr>
          <w:rFonts w:hint="eastAsia" w:ascii="宋体" w:hAnsi="宋体" w:cs="宋体"/>
          <w:sz w:val="24"/>
        </w:rPr>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000000"/>
    <w:rsid w:val="048223C7"/>
    <w:rsid w:val="04890699"/>
    <w:rsid w:val="154446AF"/>
    <w:rsid w:val="469B2625"/>
    <w:rsid w:val="57E74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1"/>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副标题 字符"/>
    <w:link w:val="5"/>
    <w:qFormat/>
    <w:uiPriority w:val="0"/>
    <w:rPr>
      <w:rFonts w:ascii="Cambria" w:hAnsi="Cambria"/>
      <w:b/>
      <w:bCs/>
      <w:kern w:val="28"/>
      <w:sz w:val="32"/>
      <w:szCs w:val="32"/>
    </w:rPr>
  </w:style>
  <w:style w:type="paragraph" w:styleId="12">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2023-11-29T08:31:00Z</dcterms:created>
  <dc:creator>Administrator</dc:creator>
  <cp:lastModifiedBy>Administrator</cp:lastModifiedBy>
  <dcterms:modified xsi:type="dcterms:W3CDTF">2024-01-15T06:41:02Z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CA2714D6641C425FA0C26B6D1EBA4DCC_13</vt:lpwstr>
  </property>
</Properties>
</file>