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2"/>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rPr>
                <w:rFonts w:hint="eastAsia" w:ascii="宋体" w:hAnsi="宋体" w:cs="宋体"/>
                <w:color w:val="000000"/>
                <w:sz w:val="24"/>
                <w:lang w:val="zh-CN"/>
              </w:rPr>
            </w:pPr>
            <w:r>
              <w:rPr>
                <w:rFonts w:hint="eastAsia" w:ascii="宋体" w:hAnsi="宋体" w:cs="宋体"/>
                <w:color w:val="000000"/>
                <w:sz w:val="24"/>
                <w:lang w:val="zh-CN"/>
              </w:rPr>
              <w:t>黄石市中心医院临床症状数据采集、上报系统项目</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cs="宋体"/>
                <w:color w:val="000000"/>
                <w:sz w:val="24"/>
                <w:lang w:val="zh-CN"/>
              </w:rPr>
              <w:t>临床症状数据采集、上报系统</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2"/>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6</w:t>
            </w:r>
            <w:r>
              <w:rPr>
                <w:rFonts w:hint="eastAsia" w:ascii="宋体" w:hAnsi="宋体" w:cs="宋体"/>
                <w:sz w:val="28"/>
                <w:szCs w:val="36"/>
              </w:rPr>
              <w:t>月</w:t>
            </w:r>
          </w:p>
        </w:tc>
      </w:tr>
    </w:tbl>
    <w:p>
      <w:pPr>
        <w:pStyle w:val="11"/>
        <w:jc w:val="center"/>
        <w:rPr>
          <w:b/>
          <w:sz w:val="21"/>
          <w:szCs w:val="36"/>
        </w:rPr>
      </w:pPr>
    </w:p>
    <w:p>
      <w:pPr>
        <w:pStyle w:val="11"/>
        <w:spacing w:line="360" w:lineRule="auto"/>
      </w:pPr>
      <w:r>
        <w:rPr>
          <w:rFonts w:hint="eastAsia"/>
        </w:rPr>
        <w:t xml:space="preserve">   </w:t>
      </w:r>
    </w:p>
    <w:p>
      <w:pPr>
        <w:pStyle w:val="11"/>
        <w:spacing w:line="360" w:lineRule="auto"/>
      </w:pPr>
    </w:p>
    <w:p>
      <w:pPr>
        <w:pStyle w:val="11"/>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120411791"/>
      <w:bookmarkStart w:id="1" w:name="_Toc535814464"/>
      <w:bookmarkStart w:id="2" w:name="_Toc136229088"/>
      <w:bookmarkStart w:id="3" w:name="_Toc535815709"/>
      <w:bookmarkStart w:id="4" w:name="_Toc28925"/>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ind w:left="239" w:leftChars="114" w:firstLine="240" w:firstLineChars="100"/>
        <w:jc w:val="both"/>
        <w:rPr>
          <w:rFonts w:ascii="宋体" w:hAnsi="宋体"/>
          <w:sz w:val="24"/>
        </w:rPr>
      </w:pPr>
      <w:r>
        <w:rPr>
          <w:rFonts w:hint="eastAsia" w:ascii="宋体" w:hAnsi="宋体" w:cs="宋体"/>
          <w:color w:val="000000"/>
          <w:sz w:val="24"/>
          <w:lang w:val="zh-CN"/>
        </w:rPr>
        <w:t>黄石市中心医院临床症状数据采集、上报系统项目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ind w:left="2159" w:leftChars="228" w:hanging="1680" w:hangingChars="700"/>
        <w:rPr>
          <w:rFonts w:hint="eastAsia" w:ascii="宋体" w:hAnsi="宋体" w:cs="宋体"/>
          <w:color w:val="000000"/>
          <w:sz w:val="24"/>
          <w:lang w:val="zh-CN"/>
        </w:rPr>
      </w:pPr>
      <w:r>
        <w:rPr>
          <w:rFonts w:hint="eastAsia" w:ascii="宋体" w:hAnsi="宋体"/>
          <w:sz w:val="24"/>
        </w:rPr>
        <w:t>1、项目名称：</w:t>
      </w:r>
      <w:r>
        <w:rPr>
          <w:rFonts w:hint="eastAsia" w:ascii="宋体" w:hAnsi="宋体" w:cs="宋体"/>
          <w:color w:val="000000"/>
          <w:sz w:val="24"/>
          <w:lang w:val="zh-CN"/>
        </w:rPr>
        <w:t>黄石市中心医院临床症状数据采集、上报系统项目</w:t>
      </w:r>
    </w:p>
    <w:p>
      <w:pPr>
        <w:ind w:left="2159" w:leftChars="228" w:hanging="1680" w:hangingChars="700"/>
        <w:rPr>
          <w:rFonts w:hint="eastAsia" w:ascii="宋体" w:hAnsi="宋体" w:cs="宋体"/>
          <w:color w:val="000000"/>
          <w:sz w:val="24"/>
          <w:lang w:val="zh-CN"/>
        </w:rPr>
      </w:pPr>
      <w:r>
        <w:rPr>
          <w:rFonts w:hint="eastAsia" w:ascii="宋体" w:hAnsi="宋体" w:cs="宋体"/>
          <w:color w:val="000000"/>
          <w:sz w:val="24"/>
          <w:lang w:val="zh-CN"/>
        </w:rPr>
        <w:t>2、采购方式：竞争性谈判</w:t>
      </w:r>
    </w:p>
    <w:p>
      <w:pPr>
        <w:ind w:left="2159" w:leftChars="228" w:hanging="1680" w:hangingChars="700"/>
        <w:rPr>
          <w:rFonts w:hint="eastAsia" w:ascii="宋体" w:hAnsi="宋体"/>
          <w:sz w:val="24"/>
        </w:rPr>
      </w:pPr>
      <w:r>
        <w:rPr>
          <w:rFonts w:hint="eastAsia" w:ascii="宋体" w:hAnsi="宋体"/>
          <w:sz w:val="24"/>
        </w:rPr>
        <w:t>3、最高限价：</w:t>
      </w:r>
      <w:r>
        <w:rPr>
          <w:rFonts w:hint="eastAsia" w:ascii="宋体" w:hAnsi="宋体"/>
          <w:sz w:val="24"/>
          <w:lang w:val="en-US" w:eastAsia="zh-CN"/>
        </w:rPr>
        <w:t>7.5</w:t>
      </w:r>
      <w:r>
        <w:rPr>
          <w:rFonts w:hint="eastAsia" w:ascii="宋体" w:hAnsi="宋体"/>
          <w:sz w:val="24"/>
        </w:rPr>
        <w:t>万</w:t>
      </w:r>
    </w:p>
    <w:p>
      <w:pPr>
        <w:spacing w:line="360" w:lineRule="auto"/>
        <w:ind w:right="420" w:firstLine="480" w:firstLineChars="200"/>
        <w:rPr>
          <w:rFonts w:hint="default" w:ascii="宋体" w:hAnsi="宋体"/>
          <w:sz w:val="24"/>
          <w:lang w:val="en-US" w:eastAsia="zh-CN"/>
        </w:rPr>
      </w:pPr>
      <w:r>
        <w:rPr>
          <w:rFonts w:hint="eastAsia" w:ascii="宋体" w:hAnsi="宋体"/>
          <w:sz w:val="24"/>
          <w:lang w:val="en-US" w:eastAsia="zh-CN"/>
        </w:rPr>
        <w:t>4、</w:t>
      </w:r>
      <w:r>
        <w:rPr>
          <w:rFonts w:hint="eastAsia" w:ascii="宋体" w:hAnsi="宋体"/>
          <w:color w:val="auto"/>
          <w:kern w:val="1"/>
          <w:sz w:val="24"/>
        </w:rPr>
        <w:t>合同履行期限：一年；</w:t>
      </w:r>
    </w:p>
    <w:p>
      <w:pPr>
        <w:ind w:left="2159" w:leftChars="228" w:hanging="1680" w:hangingChars="7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360" w:lineRule="auto"/>
        <w:ind w:right="420"/>
        <w:rPr>
          <w:rFonts w:hint="eastAsia" w:ascii="宋体" w:hAnsi="宋体"/>
          <w:color w:val="auto"/>
          <w:kern w:val="1"/>
          <w:sz w:val="24"/>
        </w:rPr>
      </w:pPr>
      <w:r>
        <w:rPr>
          <w:rFonts w:hint="eastAsia" w:ascii="宋体" w:hAnsi="宋体"/>
          <w:color w:val="auto"/>
          <w:kern w:val="1"/>
          <w:sz w:val="24"/>
        </w:rPr>
        <w:t>1、满足《中华人民共和国政府采购法》第二十二条规定，即：</w:t>
      </w:r>
    </w:p>
    <w:p>
      <w:pPr>
        <w:spacing w:line="360" w:lineRule="auto"/>
        <w:ind w:right="420"/>
        <w:rPr>
          <w:rFonts w:hint="eastAsia" w:ascii="宋体" w:hAnsi="宋体"/>
          <w:color w:val="auto"/>
          <w:kern w:val="1"/>
          <w:sz w:val="24"/>
        </w:rPr>
      </w:pPr>
      <w:r>
        <w:rPr>
          <w:rFonts w:hint="eastAsia" w:ascii="宋体" w:hAnsi="宋体"/>
          <w:color w:val="auto"/>
          <w:kern w:val="1"/>
          <w:sz w:val="24"/>
        </w:rPr>
        <w:t>（1）具有独立承担民事责任的能力；</w:t>
      </w:r>
    </w:p>
    <w:p>
      <w:pPr>
        <w:spacing w:line="360" w:lineRule="auto"/>
        <w:ind w:right="420"/>
        <w:rPr>
          <w:rFonts w:hint="eastAsia" w:ascii="宋体" w:hAnsi="宋体"/>
          <w:color w:val="auto"/>
          <w:kern w:val="1"/>
          <w:sz w:val="24"/>
        </w:rPr>
      </w:pPr>
      <w:r>
        <w:rPr>
          <w:rFonts w:hint="eastAsia" w:ascii="宋体" w:hAnsi="宋体"/>
          <w:color w:val="auto"/>
          <w:kern w:val="1"/>
          <w:sz w:val="24"/>
        </w:rPr>
        <w:t>（2）具有良好的商业信誉和健全的财务会计制度；</w:t>
      </w:r>
    </w:p>
    <w:p>
      <w:pPr>
        <w:spacing w:line="360" w:lineRule="auto"/>
        <w:ind w:right="420"/>
        <w:rPr>
          <w:rFonts w:hint="eastAsia" w:ascii="宋体" w:hAnsi="宋体"/>
          <w:color w:val="auto"/>
          <w:kern w:val="1"/>
          <w:sz w:val="24"/>
        </w:rPr>
      </w:pPr>
      <w:r>
        <w:rPr>
          <w:rFonts w:hint="eastAsia" w:ascii="宋体" w:hAnsi="宋体"/>
          <w:color w:val="auto"/>
          <w:kern w:val="1"/>
          <w:sz w:val="24"/>
        </w:rPr>
        <w:t>（3）具有履行合同所必需的设备和专业技术能力；</w:t>
      </w:r>
    </w:p>
    <w:p>
      <w:pPr>
        <w:spacing w:line="360" w:lineRule="auto"/>
        <w:ind w:right="420"/>
        <w:rPr>
          <w:rFonts w:hint="eastAsia" w:ascii="宋体" w:hAnsi="宋体"/>
          <w:color w:val="auto"/>
          <w:kern w:val="1"/>
          <w:sz w:val="24"/>
        </w:rPr>
      </w:pPr>
      <w:r>
        <w:rPr>
          <w:rFonts w:hint="eastAsia" w:ascii="宋体" w:hAnsi="宋体"/>
          <w:color w:val="auto"/>
          <w:kern w:val="1"/>
          <w:sz w:val="24"/>
        </w:rPr>
        <w:t>（4）有依法缴纳税收和社会保障资金的良好记录；</w:t>
      </w:r>
    </w:p>
    <w:p>
      <w:pPr>
        <w:spacing w:line="360" w:lineRule="auto"/>
        <w:ind w:right="420"/>
        <w:rPr>
          <w:rFonts w:hint="eastAsia" w:ascii="宋体" w:hAnsi="宋体"/>
          <w:color w:val="auto"/>
          <w:kern w:val="1"/>
          <w:sz w:val="24"/>
        </w:rPr>
      </w:pPr>
      <w:r>
        <w:rPr>
          <w:rFonts w:hint="eastAsia" w:ascii="宋体" w:hAnsi="宋体"/>
          <w:color w:val="auto"/>
          <w:kern w:val="1"/>
          <w:sz w:val="24"/>
        </w:rPr>
        <w:t>（5）参加政府采购活动前三年内，在经营活动中没有重大违法记录；</w:t>
      </w:r>
    </w:p>
    <w:p>
      <w:pPr>
        <w:spacing w:line="360" w:lineRule="auto"/>
        <w:rPr>
          <w:rFonts w:hint="eastAsia" w:ascii="宋体" w:hAnsi="宋体"/>
          <w:color w:val="auto"/>
          <w:kern w:val="1"/>
          <w:sz w:val="24"/>
        </w:rPr>
      </w:pPr>
      <w:r>
        <w:rPr>
          <w:rFonts w:hint="eastAsia" w:ascii="宋体" w:hAnsi="宋体"/>
          <w:color w:val="auto"/>
          <w:kern w:val="1"/>
          <w:sz w:val="24"/>
        </w:rPr>
        <w:t>（6）法律、行政法规规定的其他条件。</w:t>
      </w:r>
    </w:p>
    <w:p>
      <w:pPr>
        <w:spacing w:line="360" w:lineRule="auto"/>
        <w:rPr>
          <w:rFonts w:hint="eastAsia" w:ascii="宋体" w:hAnsi="宋体"/>
          <w:color w:val="auto"/>
          <w:kern w:val="1"/>
          <w:sz w:val="24"/>
        </w:rPr>
      </w:pPr>
      <w:r>
        <w:rPr>
          <w:rFonts w:hint="eastAsia" w:ascii="宋体" w:hAnsi="宋体"/>
          <w:color w:val="auto"/>
          <w:kern w:val="1"/>
          <w:sz w:val="24"/>
        </w:rPr>
        <w:t>2、单位负责人为同一人或者存在直接控股、管理关系的不同投标人，不得参加本项目同一合同项下的政府采购活动。</w:t>
      </w:r>
    </w:p>
    <w:p>
      <w:pPr>
        <w:spacing w:line="360" w:lineRule="auto"/>
        <w:rPr>
          <w:rFonts w:hint="eastAsia" w:ascii="宋体" w:hAnsi="宋体"/>
          <w:color w:val="auto"/>
          <w:kern w:val="1"/>
          <w:sz w:val="24"/>
        </w:rPr>
      </w:pPr>
      <w:r>
        <w:rPr>
          <w:rFonts w:hint="eastAsia" w:ascii="宋体" w:hAnsi="宋体"/>
          <w:color w:val="auto"/>
          <w:kern w:val="1"/>
          <w:sz w:val="24"/>
        </w:rPr>
        <w:t>3、为本采购项目提供整体设计、规范编制或者项目管理、监理、检测等服务的，不得再参加本项目的其他招标采购活动。</w:t>
      </w:r>
    </w:p>
    <w:p>
      <w:pPr>
        <w:spacing w:line="360" w:lineRule="auto"/>
        <w:rPr>
          <w:rFonts w:hint="eastAsia" w:ascii="宋体" w:hAnsi="宋体"/>
          <w:color w:val="auto"/>
          <w:kern w:val="1"/>
          <w:sz w:val="24"/>
        </w:rPr>
      </w:pPr>
      <w:r>
        <w:rPr>
          <w:rFonts w:hint="eastAsia" w:ascii="宋体" w:hAnsi="宋体"/>
          <w:color w:val="auto"/>
          <w:kern w:val="1"/>
          <w:sz w:val="24"/>
        </w:rPr>
        <w:t>4、未被列入失信被执行人、重大税收违法案件当事人名单，未被列入政府采购严重违法失信行为记录名单。</w:t>
      </w:r>
    </w:p>
    <w:p>
      <w:pPr>
        <w:spacing w:line="360" w:lineRule="auto"/>
        <w:ind w:right="420"/>
        <w:rPr>
          <w:rFonts w:hint="eastAsia" w:ascii="宋体" w:hAnsi="宋体"/>
          <w:color w:val="auto"/>
          <w:kern w:val="1"/>
          <w:sz w:val="24"/>
        </w:rPr>
      </w:pPr>
      <w:r>
        <w:rPr>
          <w:rFonts w:hint="eastAsia" w:ascii="宋体" w:hAnsi="宋体"/>
          <w:color w:val="auto"/>
          <w:kern w:val="1"/>
          <w:sz w:val="24"/>
        </w:rPr>
        <w:t>5、本项目的特定资格要求：</w:t>
      </w:r>
    </w:p>
    <w:p>
      <w:pPr>
        <w:spacing w:line="360" w:lineRule="auto"/>
        <w:ind w:right="420"/>
        <w:rPr>
          <w:rFonts w:hint="eastAsia" w:ascii="宋体" w:hAnsi="宋体"/>
          <w:color w:val="auto"/>
          <w:kern w:val="1"/>
          <w:sz w:val="24"/>
        </w:rPr>
      </w:pPr>
      <w:r>
        <w:rPr>
          <w:rFonts w:hint="eastAsia" w:ascii="宋体" w:hAnsi="宋体"/>
          <w:color w:val="auto"/>
          <w:kern w:val="1"/>
          <w:sz w:val="24"/>
        </w:rPr>
        <w:t>（1）供应商必须具备软件的著作权证书或授权书。</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6</w:t>
      </w:r>
      <w:r>
        <w:rPr>
          <w:rFonts w:hint="eastAsia" w:ascii="宋体" w:hAnsi="宋体" w:cs="宋体"/>
          <w:kern w:val="0"/>
          <w:sz w:val="24"/>
        </w:rPr>
        <w:t xml:space="preserve"> 月  </w:t>
      </w:r>
      <w:r>
        <w:rPr>
          <w:rFonts w:hint="eastAsia" w:ascii="宋体" w:hAnsi="宋体" w:cs="宋体"/>
          <w:kern w:val="0"/>
          <w:sz w:val="24"/>
          <w:lang w:val="en-US" w:eastAsia="zh-CN"/>
        </w:rPr>
        <w:t>22</w:t>
      </w:r>
      <w:r>
        <w:rPr>
          <w:rFonts w:hint="eastAsia" w:ascii="宋体" w:hAnsi="宋体" w:cs="宋体"/>
          <w:kern w:val="0"/>
          <w:sz w:val="24"/>
        </w:rPr>
        <w:t xml:space="preserve"> 日上午 时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6</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15</w:t>
      </w:r>
      <w:bookmarkStart w:id="65" w:name="_GoBack"/>
      <w:bookmarkEnd w:id="65"/>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2"/>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hint="eastAsia" w:ascii="宋体" w:hAnsi="宋体"/>
                <w:kern w:val="2"/>
                <w:sz w:val="21"/>
                <w:szCs w:val="21"/>
                <w:lang w:val="en-US" w:eastAsia="zh-CN"/>
              </w:rPr>
              <w:t>2</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rPr>
                <w:rFonts w:hint="eastAsia" w:ascii="宋体" w:hAnsi="宋体" w:cs="宋体"/>
                <w:color w:val="000000"/>
                <w:sz w:val="24"/>
                <w:lang w:val="zh-CN"/>
              </w:rPr>
            </w:pPr>
            <w:r>
              <w:rPr>
                <w:rFonts w:hint="eastAsia" w:ascii="宋体" w:hAnsi="宋体" w:cs="宋体"/>
                <w:color w:val="000000"/>
                <w:sz w:val="24"/>
                <w:lang w:val="zh-CN"/>
              </w:rPr>
              <w:t>黄石市中心医院临床症状数据采集、上报系统项目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3</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4</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cs="宋体"/>
                <w:color w:val="000000"/>
                <w:sz w:val="24"/>
                <w:lang w:val="zh-CN"/>
              </w:rPr>
              <w:t>临床症状数据采集、上报系统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5</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6</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lang w:val="en-US" w:eastAsia="zh-CN"/>
              </w:rPr>
              <w:t>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5"/>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hint="default" w:ascii="宋体" w:hAnsi="宋体"/>
                <w:kern w:val="2"/>
                <w:sz w:val="21"/>
                <w:szCs w:val="21"/>
                <w:lang w:val="en-US" w:eastAsia="zh-CN"/>
              </w:rPr>
            </w:pPr>
            <w:r>
              <w:rPr>
                <w:rFonts w:hint="eastAsia" w:ascii="宋体" w:hAnsi="宋体"/>
                <w:kern w:val="2"/>
                <w:sz w:val="21"/>
                <w:szCs w:val="21"/>
                <w:lang w:val="en-US" w:eastAsia="zh-CN"/>
              </w:rPr>
              <w:t>8</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9</w:t>
            </w:r>
          </w:p>
        </w:tc>
        <w:tc>
          <w:tcPr>
            <w:tcW w:w="1954" w:type="dxa"/>
            <w:gridSpan w:val="2"/>
            <w:vAlign w:val="center"/>
          </w:tcPr>
          <w:p>
            <w:pPr>
              <w:pStyle w:val="15"/>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5"/>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5"/>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szCs w:val="21"/>
                <w:lang w:val="en-US" w:eastAsia="zh-CN"/>
              </w:rPr>
            </w:pPr>
            <w:r>
              <w:rPr>
                <w:rFonts w:hint="eastAsia" w:ascii="宋体" w:hAnsi="宋体"/>
                <w:szCs w:val="21"/>
                <w:lang w:val="en-US" w:eastAsia="zh-CN"/>
              </w:rPr>
              <w:t>10</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0</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6"/>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6"/>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4</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5</w:t>
            </w:r>
          </w:p>
        </w:tc>
        <w:tc>
          <w:tcPr>
            <w:tcW w:w="1954" w:type="dxa"/>
            <w:gridSpan w:val="2"/>
            <w:vAlign w:val="center"/>
          </w:tcPr>
          <w:p>
            <w:pPr>
              <w:pStyle w:val="15"/>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5"/>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hint="default" w:ascii="宋体" w:hAnsi="宋体" w:eastAsia="宋体"/>
                <w:szCs w:val="21"/>
                <w:lang w:val="en-US" w:eastAsia="zh-CN"/>
              </w:rPr>
            </w:pPr>
            <w:r>
              <w:rPr>
                <w:rFonts w:hint="eastAsia" w:ascii="宋体" w:hAnsi="宋体"/>
                <w:szCs w:val="21"/>
                <w:lang w:val="en-US" w:eastAsia="zh-CN"/>
              </w:rPr>
              <w:t>26</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hint="default" w:ascii="宋体" w:hAnsi="宋体" w:eastAsia="宋体"/>
                <w:szCs w:val="21"/>
                <w:lang w:val="en-US" w:eastAsia="zh-CN"/>
              </w:rPr>
            </w:pPr>
            <w:r>
              <w:rPr>
                <w:rFonts w:hint="eastAsia" w:ascii="宋体" w:hAnsi="宋体"/>
                <w:szCs w:val="21"/>
                <w:lang w:val="en-US" w:eastAsia="zh-CN"/>
              </w:rPr>
              <w:t>27</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3748"/>
      <w:bookmarkStart w:id="10" w:name="_Toc535832519"/>
      <w:bookmarkStart w:id="11" w:name="_Toc120411798"/>
      <w:r>
        <w:t>二、谈判文件</w:t>
      </w:r>
      <w:bookmarkEnd w:id="9"/>
      <w:bookmarkEnd w:id="10"/>
      <w:bookmarkEnd w:id="11"/>
    </w:p>
    <w:p>
      <w:pPr>
        <w:pStyle w:val="17"/>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7"/>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7"/>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7"/>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7"/>
        <w:tabs>
          <w:tab w:val="left" w:pos="1155"/>
          <w:tab w:val="clear" w:pos="425"/>
          <w:tab w:val="clear" w:pos="1134"/>
        </w:tabs>
        <w:spacing w:before="0" w:after="0"/>
        <w:ind w:left="1157" w:hanging="1157"/>
      </w:pPr>
      <w:bookmarkStart w:id="25" w:name="_Toc24505"/>
      <w:bookmarkStart w:id="26" w:name="_Toc535832525"/>
      <w:bookmarkStart w:id="27" w:name="_Toc120411804"/>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7"/>
        <w:tabs>
          <w:tab w:val="left" w:pos="1155"/>
          <w:tab w:val="clear" w:pos="425"/>
          <w:tab w:val="clear" w:pos="1134"/>
        </w:tabs>
        <w:spacing w:before="0" w:after="0"/>
        <w:ind w:left="1157" w:hanging="1157"/>
      </w:pPr>
      <w:bookmarkStart w:id="28" w:name="_Toc535832527"/>
      <w:bookmarkStart w:id="29" w:name="_Toc120411806"/>
      <w:bookmarkStart w:id="30" w:name="_Toc19459"/>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7"/>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7"/>
        <w:tabs>
          <w:tab w:val="left" w:pos="1155"/>
          <w:tab w:val="clear" w:pos="425"/>
          <w:tab w:val="clear" w:pos="1134"/>
        </w:tabs>
        <w:spacing w:before="0" w:after="0"/>
        <w:ind w:left="1157" w:hanging="1157"/>
      </w:pPr>
      <w:bookmarkStart w:id="34" w:name="_Toc47348161"/>
      <w:bookmarkStart w:id="35" w:name="_Toc109616875"/>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7"/>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7"/>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7"/>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7"/>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7"/>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7"/>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7"/>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3"/>
      </w:pPr>
      <w:bookmarkStart w:id="54" w:name="_Toc136229090"/>
      <w:bookmarkStart w:id="55" w:name="_Toc535891688"/>
      <w:bookmarkStart w:id="56" w:name="_Toc535832555"/>
      <w:bookmarkStart w:id="57" w:name="_Toc535815711"/>
      <w:bookmarkStart w:id="58" w:name="_Toc535814466"/>
      <w:bookmarkStart w:id="59" w:name="_Toc120411834"/>
      <w:bookmarkStart w:id="60" w:name="_Toc5358918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ind w:left="2159" w:leftChars="228" w:hanging="1680" w:hangingChars="700"/>
        <w:rPr>
          <w:rFonts w:hint="eastAsia" w:ascii="宋体" w:hAnsi="宋体" w:cs="宋体"/>
          <w:color w:val="000000"/>
          <w:sz w:val="24"/>
          <w:lang w:val="zh-CN"/>
        </w:rPr>
      </w:pPr>
      <w:r>
        <w:rPr>
          <w:rFonts w:hint="eastAsia" w:ascii="宋体" w:hAnsi="宋体"/>
          <w:sz w:val="24"/>
        </w:rPr>
        <w:t>1、项目名称：</w:t>
      </w:r>
      <w:r>
        <w:rPr>
          <w:rFonts w:hint="eastAsia" w:ascii="宋体" w:hAnsi="宋体" w:cs="宋体"/>
          <w:color w:val="000000"/>
          <w:sz w:val="24"/>
          <w:lang w:val="zh-CN"/>
        </w:rPr>
        <w:t>黄石市中心医院临床症状数据采集、上报系统项目</w:t>
      </w:r>
    </w:p>
    <w:p>
      <w:pPr>
        <w:ind w:left="2159" w:leftChars="228" w:hanging="1680" w:hangingChars="700"/>
        <w:rPr>
          <w:rFonts w:hint="eastAsia" w:ascii="宋体" w:hAnsi="宋体" w:cs="宋体"/>
          <w:color w:val="000000"/>
          <w:sz w:val="24"/>
          <w:lang w:val="zh-CN"/>
        </w:rPr>
      </w:pPr>
      <w:r>
        <w:rPr>
          <w:rFonts w:hint="eastAsia" w:ascii="宋体" w:hAnsi="宋体" w:cs="宋体"/>
          <w:color w:val="000000"/>
          <w:sz w:val="24"/>
          <w:lang w:val="zh-CN"/>
        </w:rPr>
        <w:t>2、采购方式：竞争性谈判</w:t>
      </w:r>
    </w:p>
    <w:p>
      <w:pPr>
        <w:ind w:left="2159" w:leftChars="228" w:hanging="1680" w:hangingChars="700"/>
        <w:rPr>
          <w:rFonts w:hint="eastAsia" w:ascii="宋体" w:hAnsi="宋体"/>
          <w:sz w:val="24"/>
        </w:rPr>
      </w:pPr>
      <w:r>
        <w:rPr>
          <w:rFonts w:hint="eastAsia" w:ascii="宋体" w:hAnsi="宋体"/>
          <w:sz w:val="24"/>
        </w:rPr>
        <w:t>3、最高限价：</w:t>
      </w:r>
      <w:r>
        <w:rPr>
          <w:rFonts w:hint="eastAsia" w:ascii="宋体" w:hAnsi="宋体"/>
          <w:sz w:val="24"/>
          <w:lang w:val="en-US" w:eastAsia="zh-CN"/>
        </w:rPr>
        <w:t>7.5</w:t>
      </w:r>
      <w:r>
        <w:rPr>
          <w:rFonts w:hint="eastAsia" w:ascii="宋体" w:hAnsi="宋体"/>
          <w:sz w:val="24"/>
        </w:rPr>
        <w:t>万</w:t>
      </w:r>
    </w:p>
    <w:p>
      <w:pPr>
        <w:spacing w:line="360" w:lineRule="auto"/>
        <w:ind w:right="420" w:firstLine="480" w:firstLineChars="200"/>
        <w:rPr>
          <w:rFonts w:hint="default" w:ascii="宋体" w:hAnsi="宋体"/>
          <w:sz w:val="24"/>
          <w:lang w:val="en-US" w:eastAsia="zh-CN"/>
        </w:rPr>
      </w:pPr>
      <w:r>
        <w:rPr>
          <w:rFonts w:hint="eastAsia" w:ascii="宋体" w:hAnsi="宋体"/>
          <w:sz w:val="24"/>
          <w:lang w:val="en-US" w:eastAsia="zh-CN"/>
        </w:rPr>
        <w:t>4、</w:t>
      </w:r>
      <w:r>
        <w:rPr>
          <w:rFonts w:hint="eastAsia" w:ascii="宋体" w:hAnsi="宋体"/>
          <w:color w:val="auto"/>
          <w:kern w:val="1"/>
          <w:sz w:val="24"/>
        </w:rPr>
        <w:t>合同履行期限：一年；</w:t>
      </w:r>
    </w:p>
    <w:p>
      <w:pPr>
        <w:ind w:left="2159" w:leftChars="228" w:hanging="1680" w:hangingChars="7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ind w:left="2159" w:leftChars="228" w:hanging="1680" w:hangingChars="700"/>
        <w:rPr>
          <w:rFonts w:hint="eastAsia" w:ascii="宋体" w:hAnsi="宋体"/>
          <w:sz w:val="24"/>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pStyle w:val="3"/>
      </w:pPr>
      <w:r>
        <w:rPr>
          <w:rFonts w:hint="eastAsia"/>
        </w:rPr>
        <w:t>传输数据</w:t>
      </w:r>
    </w:p>
    <w:p>
      <w:r>
        <w:rPr>
          <w:rFonts w:hint="eastAsia"/>
        </w:rPr>
        <w:t>医院将生产库的数据按医疗机构临床症状数据采集要求进行数据结构和值域字典的转换，然后定时写入到医院前置库中，具体要求如下：</w:t>
      </w:r>
    </w:p>
    <w:p>
      <w:pPr>
        <w:ind w:firstLine="482"/>
        <w:rPr>
          <w:b/>
          <w:bCs/>
        </w:rPr>
      </w:pPr>
      <w:r>
        <w:rPr>
          <w:rFonts w:hint="eastAsia"/>
          <w:b/>
          <w:bCs/>
        </w:rPr>
        <w:t>1、传输范围</w:t>
      </w:r>
    </w:p>
    <w:p>
      <w:r>
        <w:rPr>
          <w:rFonts w:hint="eastAsia"/>
        </w:rPr>
        <w:t>本次对接需要采集</w:t>
      </w:r>
      <w:r>
        <w:t>13</w:t>
      </w:r>
      <w:r>
        <w:rPr>
          <w:rFonts w:hint="eastAsia"/>
        </w:rPr>
        <w:t>张表的数据，分别为：</w:t>
      </w:r>
    </w:p>
    <w:tbl>
      <w:tblPr>
        <w:tblStyle w:val="1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85"/>
        <w:gridCol w:w="3616"/>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shd w:val="clear" w:color="auto" w:fill="DEEAF6" w:themeFill="accent1" w:themeFillTint="33"/>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序号</w:t>
            </w:r>
          </w:p>
        </w:tc>
        <w:tc>
          <w:tcPr>
            <w:tcW w:w="1985" w:type="dxa"/>
            <w:shd w:val="clear" w:color="auto" w:fill="DEEAF6" w:themeFill="accent1" w:themeFillTint="33"/>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表名称</w:t>
            </w:r>
          </w:p>
        </w:tc>
        <w:tc>
          <w:tcPr>
            <w:tcW w:w="3616" w:type="dxa"/>
            <w:shd w:val="clear" w:color="auto" w:fill="DEEAF6" w:themeFill="accent1" w:themeFillTint="33"/>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表英文名</w:t>
            </w:r>
          </w:p>
        </w:tc>
        <w:tc>
          <w:tcPr>
            <w:tcW w:w="1907" w:type="dxa"/>
            <w:shd w:val="clear" w:color="auto" w:fill="DEEAF6" w:themeFill="accent1" w:themeFillTint="33"/>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1</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患者基本信息</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BASE_PERSON_YLFW</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2</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门急诊就诊记录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OPT_RECORD</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3</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入院记录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IPT_ADMISSIONNOTE</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4</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首次病程记录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IPT_RECORDFIRSTDURATION</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5</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日常病程记录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IPT_DAILYCOURSER</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6</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出院记录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IPT_HOSPITALDISCHARGER</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7</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生命体征测量记录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IPT_HOSPITALSIGNSRECORD</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建议来源EMR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8</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检验记录</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BASE_INSPECTIONREPORTH</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9</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检验明细信息</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BASE_CHECKLIST</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10</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放射影像检查报告信息</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PT_INSPECTIONREPORT</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11</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门急诊诊断明细</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OPT_DIAGNOSISBREAKDOWN</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12</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在院诊断明细</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w:t>
            </w:r>
            <w:r>
              <w:rPr>
                <w:rFonts w:hint="eastAsia" w:cs="Times New Roman"/>
                <w:color w:val="FF0000"/>
                <w:kern w:val="0"/>
                <w:sz w:val="20"/>
                <w:szCs w:val="20"/>
              </w:rPr>
              <w:t>IPT_DIAGNOSISBREAKDOWN</w:t>
            </w:r>
            <w:r>
              <w:rPr>
                <w:rFonts w:hint="eastAsia" w:cs="Times New Roman"/>
                <w:kern w:val="0"/>
                <w:sz w:val="20"/>
                <w:szCs w:val="20"/>
              </w:rPr>
              <w:t>_DAY</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建议来源HIS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14" w:type="dxa"/>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13</w:t>
            </w:r>
          </w:p>
        </w:tc>
        <w:tc>
          <w:tcPr>
            <w:tcW w:w="1985"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数据对账表</w:t>
            </w:r>
          </w:p>
        </w:tc>
        <w:tc>
          <w:tcPr>
            <w:tcW w:w="3616"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YLJGJC_DATA_AUDIT</w:t>
            </w:r>
          </w:p>
        </w:tc>
        <w:tc>
          <w:tcPr>
            <w:tcW w:w="1907" w:type="dxa"/>
            <w:vAlign w:val="center"/>
          </w:tcPr>
          <w:p>
            <w:pPr>
              <w:spacing w:before="120" w:after="120" w:line="240" w:lineRule="auto"/>
              <w:ind w:firstLine="0" w:firstLineChars="0"/>
              <w:rPr>
                <w:rFonts w:cs="Times New Roman"/>
                <w:kern w:val="0"/>
                <w:sz w:val="20"/>
                <w:szCs w:val="20"/>
              </w:rPr>
            </w:pPr>
            <w:r>
              <w:rPr>
                <w:rFonts w:hint="eastAsia" w:cs="Times New Roman"/>
                <w:kern w:val="0"/>
                <w:sz w:val="20"/>
                <w:szCs w:val="20"/>
              </w:rPr>
              <w:t>管理表，需要对着业务系统进行统计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6315" w:type="dxa"/>
            <w:gridSpan w:val="3"/>
            <w:shd w:val="clear" w:color="auto" w:fill="DEEAF6" w:themeFill="accent1" w:themeFillTint="33"/>
            <w:vAlign w:val="center"/>
          </w:tcPr>
          <w:p>
            <w:pPr>
              <w:spacing w:before="120" w:after="120" w:line="240" w:lineRule="auto"/>
              <w:ind w:firstLine="0" w:firstLineChars="0"/>
              <w:jc w:val="center"/>
              <w:rPr>
                <w:rFonts w:cs="Times New Roman"/>
                <w:kern w:val="0"/>
                <w:sz w:val="20"/>
                <w:szCs w:val="20"/>
              </w:rPr>
            </w:pPr>
            <w:r>
              <w:rPr>
                <w:rFonts w:hint="eastAsia" w:cs="Times New Roman"/>
                <w:kern w:val="0"/>
                <w:sz w:val="20"/>
                <w:szCs w:val="20"/>
              </w:rPr>
              <w:t>合计</w:t>
            </w:r>
          </w:p>
        </w:tc>
        <w:tc>
          <w:tcPr>
            <w:tcW w:w="1907" w:type="dxa"/>
            <w:shd w:val="clear" w:color="auto" w:fill="DEEAF6" w:themeFill="accent1" w:themeFillTint="33"/>
            <w:vAlign w:val="center"/>
          </w:tcPr>
          <w:p>
            <w:pPr>
              <w:spacing w:before="120" w:after="120" w:line="240" w:lineRule="auto"/>
              <w:ind w:firstLine="0" w:firstLineChars="0"/>
              <w:rPr>
                <w:rFonts w:cs="Times New Roman"/>
                <w:kern w:val="0"/>
                <w:sz w:val="20"/>
                <w:szCs w:val="20"/>
              </w:rPr>
            </w:pPr>
          </w:p>
        </w:tc>
      </w:tr>
    </w:tbl>
    <w:p>
      <w:r>
        <w:rPr>
          <w:rFonts w:hint="eastAsia"/>
        </w:rPr>
        <w:t>以上表都会在医院的前置库中建好，表结构遵循最新版本的《湖北省健康医疗大数据中心医防融合数据标准研究</w:t>
      </w:r>
      <w:r>
        <w:t>-医疗服务数据采集规范</w:t>
      </w:r>
      <w:r>
        <w:rPr>
          <w:rFonts w:hint="eastAsia"/>
        </w:rPr>
        <w:t>》，值域字典遵循最新版本的《湖北省健康医疗大数据中心医防融合数据标准研究</w:t>
      </w:r>
      <w:r>
        <w:t>-数据元值域代码规范</w:t>
      </w:r>
      <w:r>
        <w:rPr>
          <w:rFonts w:hint="eastAsia"/>
        </w:rPr>
        <w:t>》。</w:t>
      </w:r>
    </w:p>
    <w:p>
      <w:pPr>
        <w:ind w:firstLine="482"/>
        <w:rPr>
          <w:b/>
          <w:bCs/>
        </w:rPr>
      </w:pPr>
      <w:r>
        <w:rPr>
          <w:b/>
          <w:bCs/>
        </w:rPr>
        <w:t>2</w:t>
      </w:r>
      <w:r>
        <w:rPr>
          <w:rFonts w:hint="eastAsia"/>
          <w:b/>
          <w:bCs/>
        </w:rPr>
        <w:t>、数据上传</w:t>
      </w:r>
    </w:p>
    <w:p>
      <w:r>
        <w:rPr>
          <w:rFonts w:hint="eastAsia"/>
        </w:rPr>
        <w:t>医疗机构完成数据接口调试后，需要先全量上传一次数据，然后调整为增量上传。</w:t>
      </w:r>
    </w:p>
    <w:p>
      <w:r>
        <w:rPr>
          <w:rFonts w:hint="eastAsia"/>
        </w:rPr>
        <w:t>全量数据上传：医疗机构完成数据接口调试后，需要将</w:t>
      </w:r>
      <w:r>
        <w:t>2023年1月1日起的数据均上传至前置库中。</w:t>
      </w:r>
    </w:p>
    <w:p>
      <w:r>
        <w:rPr>
          <w:rFonts w:hint="eastAsia"/>
        </w:rPr>
        <w:t>增量数据上传：医疗机构完成全量数据上传后，调整为增量上传，每</w:t>
      </w:r>
      <w:r>
        <w:t>15分钟上传一次新增数据到前置库。</w:t>
      </w:r>
    </w:p>
    <w:p>
      <w:pPr>
        <w:ind w:firstLine="482"/>
        <w:rPr>
          <w:b/>
          <w:bCs/>
        </w:rPr>
      </w:pPr>
      <w:r>
        <w:rPr>
          <w:b/>
          <w:bCs/>
        </w:rPr>
        <w:t>3</w:t>
      </w:r>
      <w:r>
        <w:rPr>
          <w:rFonts w:hint="eastAsia"/>
          <w:b/>
          <w:bCs/>
        </w:rPr>
        <w:t>、重复数据</w:t>
      </w:r>
    </w:p>
    <w:p>
      <w:r>
        <w:rPr>
          <w:rFonts w:hint="eastAsia"/>
        </w:rPr>
        <w:t>相同主键的数据，在数据表中仅存在唯一一条记录。如果同一条数据有变动需要更新，可以按主键直接更新（即执行update操作）。</w:t>
      </w:r>
    </w:p>
    <w:p>
      <w:pPr>
        <w:ind w:firstLine="482"/>
        <w:rPr>
          <w:b/>
          <w:bCs/>
        </w:rPr>
      </w:pPr>
      <w:r>
        <w:rPr>
          <w:b/>
          <w:bCs/>
        </w:rPr>
        <w:t>4</w:t>
      </w:r>
      <w:r>
        <w:rPr>
          <w:rFonts w:hint="eastAsia"/>
          <w:b/>
          <w:bCs/>
        </w:rPr>
        <w:t>、删除数据</w:t>
      </w:r>
    </w:p>
    <w:p>
      <w:r>
        <w:rPr>
          <w:rFonts w:hint="eastAsia"/>
        </w:rPr>
        <w:t>如非必要，不做删除数据的操作。如果某一条已上传的记录在业务系统中发生删除操作，该记录需要再次上传，但需要打上删除标记（每张表都有</w:t>
      </w:r>
      <w:r>
        <w:t>deleted字段，值等于1时，表示已删除）。</w:t>
      </w:r>
    </w:p>
    <w:p>
      <w:pPr>
        <w:ind w:firstLine="482"/>
        <w:rPr>
          <w:b/>
          <w:bCs/>
        </w:rPr>
      </w:pPr>
      <w:r>
        <w:rPr>
          <w:b/>
          <w:bCs/>
        </w:rPr>
        <w:t>5</w:t>
      </w:r>
      <w:r>
        <w:rPr>
          <w:rFonts w:hint="eastAsia"/>
          <w:b/>
          <w:bCs/>
        </w:rPr>
        <w:t>、数据留存</w:t>
      </w:r>
    </w:p>
    <w:p>
      <w:r>
        <w:rPr>
          <w:rFonts w:hint="eastAsia"/>
        </w:rPr>
        <w:t>为减少医院和地市州前置库的存储压力，并且提高数据处理性能，前置库仅留存一个月（按</w:t>
      </w:r>
      <w:r>
        <w:t>uploadtime_p回写时间 字段计算）的业务数据，超过期限的将被自动清除。</w:t>
      </w:r>
    </w:p>
    <w:p/>
    <w:p>
      <w:pPr>
        <w:pStyle w:val="5"/>
        <w:numPr>
          <w:ilvl w:val="0"/>
          <w:numId w:val="0"/>
        </w:numPr>
        <w:spacing w:line="560" w:lineRule="exact"/>
        <w:ind w:left="1132" w:hanging="1132" w:hangingChars="470"/>
        <w:jc w:val="center"/>
      </w:pPr>
      <w:r>
        <w:rPr>
          <w:rFonts w:hint="eastAsia"/>
          <w:lang w:val="en-US" w:eastAsia="zh-CN"/>
        </w:rPr>
        <w:t>一</w:t>
      </w:r>
      <w:r>
        <w:rPr>
          <w:rFonts w:hint="eastAsia"/>
        </w:rPr>
        <w:t>、</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6"/>
        <w:spacing w:line="500" w:lineRule="exact"/>
        <w:jc w:val="both"/>
        <w:rPr>
          <w:rFonts w:ascii="Arial" w:hAnsi="Arial" w:cs="Arial"/>
          <w:color w:val="auto"/>
        </w:rPr>
      </w:pPr>
    </w:p>
    <w:p>
      <w:pPr>
        <w:pStyle w:val="16"/>
        <w:spacing w:line="500" w:lineRule="exact"/>
        <w:jc w:val="both"/>
        <w:rPr>
          <w:rFonts w:ascii="Arial" w:hAnsi="Arial" w:cs="Arial"/>
          <w:color w:val="auto"/>
        </w:rPr>
      </w:pPr>
      <w:r>
        <w:rPr>
          <w:rFonts w:ascii="Arial" w:hAnsi="Arial" w:cs="Arial"/>
          <w:color w:val="auto"/>
        </w:rPr>
        <w:t xml:space="preserve">供应商名称：                               </w:t>
      </w:r>
    </w:p>
    <w:p>
      <w:pPr>
        <w:pStyle w:val="16"/>
        <w:spacing w:line="500" w:lineRule="exact"/>
        <w:jc w:val="both"/>
        <w:rPr>
          <w:rFonts w:ascii="Arial" w:hAnsi="Arial" w:cs="Arial"/>
          <w:color w:val="auto"/>
        </w:rPr>
      </w:pPr>
      <w:r>
        <w:rPr>
          <w:rFonts w:ascii="Arial" w:hAnsi="Arial" w:cs="Arial"/>
          <w:color w:val="auto"/>
        </w:rPr>
        <w:t xml:space="preserve">单位性质：                                </w:t>
      </w:r>
    </w:p>
    <w:p>
      <w:pPr>
        <w:pStyle w:val="16"/>
        <w:spacing w:line="500" w:lineRule="exact"/>
        <w:jc w:val="both"/>
        <w:rPr>
          <w:rFonts w:ascii="Arial" w:hAnsi="Arial" w:cs="Arial"/>
          <w:color w:val="auto"/>
        </w:rPr>
      </w:pPr>
      <w:r>
        <w:rPr>
          <w:rFonts w:ascii="Arial" w:hAnsi="Arial" w:cs="Arial"/>
          <w:color w:val="auto"/>
        </w:rPr>
        <w:t xml:space="preserve">成立时间：         年          月        日 </w:t>
      </w:r>
    </w:p>
    <w:p>
      <w:pPr>
        <w:pStyle w:val="16"/>
        <w:spacing w:line="500" w:lineRule="exact"/>
        <w:jc w:val="both"/>
        <w:rPr>
          <w:rFonts w:ascii="Arial" w:hAnsi="Arial" w:cs="Arial"/>
          <w:color w:val="auto"/>
        </w:rPr>
      </w:pPr>
      <w:r>
        <w:rPr>
          <w:rFonts w:ascii="Arial" w:hAnsi="Arial" w:cs="Arial"/>
          <w:color w:val="auto"/>
        </w:rPr>
        <w:t xml:space="preserve">经营期限：                                   </w:t>
      </w:r>
    </w:p>
    <w:p>
      <w:pPr>
        <w:pStyle w:val="16"/>
        <w:spacing w:line="500" w:lineRule="exact"/>
        <w:jc w:val="both"/>
        <w:rPr>
          <w:rFonts w:ascii="Arial" w:hAnsi="Arial" w:cs="Arial"/>
          <w:color w:val="auto"/>
        </w:rPr>
      </w:pPr>
      <w:r>
        <w:rPr>
          <w:rFonts w:ascii="Arial" w:hAnsi="Arial" w:cs="Arial"/>
          <w:color w:val="auto"/>
        </w:rPr>
        <w:t xml:space="preserve">姓名：         性别：         年龄：         职务：         </w:t>
      </w:r>
    </w:p>
    <w:p>
      <w:pPr>
        <w:pStyle w:val="16"/>
        <w:spacing w:line="500" w:lineRule="exact"/>
        <w:jc w:val="both"/>
        <w:rPr>
          <w:rFonts w:ascii="Arial" w:hAnsi="Arial" w:cs="Arial"/>
          <w:color w:val="auto"/>
        </w:rPr>
      </w:pPr>
      <w:r>
        <w:rPr>
          <w:rFonts w:ascii="Arial" w:hAnsi="Arial" w:cs="Arial"/>
          <w:color w:val="auto"/>
        </w:rPr>
        <w:t>系                                （供应商名称）的法定代表人</w:t>
      </w:r>
    </w:p>
    <w:p>
      <w:pPr>
        <w:pStyle w:val="16"/>
        <w:spacing w:line="500" w:lineRule="exact"/>
        <w:ind w:firstLine="480" w:firstLineChars="200"/>
        <w:jc w:val="both"/>
        <w:rPr>
          <w:rFonts w:ascii="Arial" w:hAnsi="Arial" w:cs="Arial"/>
          <w:color w:val="auto"/>
        </w:rPr>
      </w:pPr>
      <w:r>
        <w:rPr>
          <w:rFonts w:ascii="Arial" w:hAnsi="Arial" w:cs="Arial"/>
          <w:color w:val="auto"/>
        </w:rPr>
        <w:t>特此证明。</w:t>
      </w: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6"/>
        <w:spacing w:line="500" w:lineRule="exact"/>
        <w:ind w:firstLine="5040" w:firstLineChars="2100"/>
        <w:jc w:val="both"/>
        <w:rPr>
          <w:rFonts w:ascii="Arial" w:hAnsi="Arial" w:cs="Arial"/>
          <w:color w:val="auto"/>
        </w:rPr>
      </w:pPr>
    </w:p>
    <w:p>
      <w:pPr>
        <w:pStyle w:val="16"/>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6"/>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AC459AA"/>
    <w:rsid w:val="1C160CAB"/>
    <w:rsid w:val="1F3802BD"/>
    <w:rsid w:val="20CF4C51"/>
    <w:rsid w:val="22E21368"/>
    <w:rsid w:val="2DA059AB"/>
    <w:rsid w:val="6FE37C07"/>
    <w:rsid w:val="78EE4DE9"/>
    <w:rsid w:val="7CF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qFormat/>
    <w:uiPriority w:val="0"/>
    <w:pPr>
      <w:ind w:firstLine="420" w:firstLineChars="100"/>
    </w:p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Paragraph"/>
    <w:basedOn w:val="1"/>
    <w:qFormat/>
    <w:uiPriority w:val="1"/>
    <w:pPr>
      <w:jc w:val="left"/>
    </w:pPr>
    <w:rPr>
      <w:kern w:val="0"/>
      <w:sz w:val="22"/>
      <w:szCs w:val="22"/>
      <w:lang w:eastAsia="en-US"/>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6987</Words>
  <Characters>7543</Characters>
  <Lines>0</Lines>
  <Paragraphs>0</Paragraphs>
  <TotalTime>3</TotalTime>
  <ScaleCrop>false</ScaleCrop>
  <LinksUpToDate>false</LinksUpToDate>
  <CharactersWithSpaces>8134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2023-05-31T06:50:00Z</dcterms:created>
  <dc:creator>Administrator</dc:creator>
  <cp:lastModifiedBy>shaoqi</cp:lastModifiedBy>
  <dcterms:modified xsi:type="dcterms:W3CDTF">2023-06-15T06:52:30Z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CE3696840DB14DCA99CB2F555DE2F3FA_12</vt:lpwstr>
  </property>
</Properties>
</file>