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20"/>
        <w:tabs>
          <w:tab w:val="left" w:pos="703"/>
        </w:tabs>
        <w:rPr>
          <w:rFonts w:hAnsi="宋体"/>
          <w:sz w:val="24"/>
          <w:szCs w:val="24"/>
        </w:rPr>
      </w:pPr>
    </w:p>
    <w:p>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黄石市中心医院锅炉清洗及维修服务项目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hint="default" w:ascii="宋体" w:hAnsi="宋体" w:cs="宋体"/>
                <w:sz w:val="28"/>
                <w:szCs w:val="36"/>
                <w:lang w:val="en-US"/>
              </w:rPr>
            </w:pPr>
            <w:r>
              <w:rPr>
                <w:rFonts w:hint="eastAsia" w:ascii="宋体" w:hAnsi="宋体"/>
                <w:sz w:val="24"/>
                <w:lang w:val="en-US" w:eastAsia="zh-CN"/>
              </w:rPr>
              <w:t>锅炉清洗及维修服务</w:t>
            </w:r>
          </w:p>
        </w:tc>
      </w:tr>
    </w:tbl>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p>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pPr>
        <w:pStyle w:val="36"/>
        <w:jc w:val="center"/>
        <w:rPr>
          <w:b/>
          <w:sz w:val="21"/>
          <w:szCs w:val="36"/>
        </w:rPr>
      </w:pPr>
    </w:p>
    <w:p>
      <w:pPr>
        <w:pStyle w:val="36"/>
        <w:spacing w:line="360" w:lineRule="auto"/>
        <w:rPr>
          <w:rFonts w:hint="eastAsia"/>
        </w:rPr>
      </w:pPr>
      <w:r>
        <w:rPr>
          <w:rFonts w:hint="eastAsia"/>
        </w:rPr>
        <w:t xml:space="preserve">   </w:t>
      </w:r>
    </w:p>
    <w:p>
      <w:pPr>
        <w:pStyle w:val="36"/>
        <w:spacing w:line="360" w:lineRule="auto"/>
        <w:rPr>
          <w:rFonts w:hint="eastAsia"/>
        </w:rPr>
      </w:pPr>
    </w:p>
    <w:p>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pPr>
        <w:pStyle w:val="2"/>
      </w:pPr>
      <w:bookmarkStart w:id="0" w:name="_Toc535815709"/>
      <w:bookmarkStart w:id="1" w:name="_Toc28925"/>
      <w:bookmarkStart w:id="2" w:name="_Toc120411791"/>
      <w:bookmarkStart w:id="3" w:name="_Toc535814464"/>
      <w:bookmarkStart w:id="4" w:name="_Toc136229088"/>
    </w:p>
    <w:p>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sz w:val="24"/>
          <w:lang w:val="en-US" w:eastAsia="zh-CN"/>
        </w:rPr>
        <w:t>黄石市中心医院锅炉清洗及维修服务项目以</w:t>
      </w:r>
      <w:r>
        <w:rPr>
          <w:rFonts w:hint="eastAsia" w:ascii="宋体" w:hAnsi="宋体"/>
          <w:sz w:val="24"/>
        </w:rPr>
        <w:t>竞争性谈判采购，欢迎符合资格条件的潜在供应商参与谈判。</w:t>
      </w:r>
    </w:p>
    <w:p>
      <w:pPr>
        <w:spacing w:line="500" w:lineRule="exact"/>
        <w:ind w:firstLine="480" w:firstLineChars="200"/>
        <w:rPr>
          <w:rFonts w:hint="eastAsia"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黄石市中心医院锅炉清洗及维修服务项目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27000元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4、服务内容：</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第1条 两台锅炉存在炉内腐蚀，现象，应系统性的做好锅炉停炉期间的保养工作；</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第2条 水介质测结有水垢，应进行化学清洗，清洗完成后做好煮炉工作，防止进一步腐蚀；</w:t>
      </w:r>
    </w:p>
    <w:p>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第3条 蒸汽锅炉前管板盖板燃烧器处的耐火层存在破损，应修复。</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240"/>
        <w:gridCol w:w="1770"/>
        <w:gridCol w:w="765"/>
        <w:gridCol w:w="735"/>
        <w:gridCol w:w="91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锅炉</w:t>
            </w:r>
            <w:r>
              <w:rPr>
                <w:rFonts w:hint="eastAsia" w:ascii="宋体" w:hAnsi="宋体" w:cs="宋体"/>
                <w:b/>
                <w:bCs/>
                <w:i w:val="0"/>
                <w:iCs w:val="0"/>
                <w:color w:val="000000"/>
                <w:kern w:val="0"/>
                <w:sz w:val="32"/>
                <w:szCs w:val="32"/>
                <w:u w:val="none"/>
                <w:lang w:val="en-US" w:eastAsia="zh-CN" w:bidi="ar"/>
              </w:rPr>
              <w:t>清洗及维修</w:t>
            </w:r>
            <w:r>
              <w:rPr>
                <w:rFonts w:hint="eastAsia" w:ascii="宋体" w:hAnsi="宋体" w:eastAsia="宋体" w:cs="宋体"/>
                <w:b/>
                <w:bCs/>
                <w:i w:val="0"/>
                <w:iCs w:val="0"/>
                <w:color w:val="000000"/>
                <w:kern w:val="0"/>
                <w:sz w:val="32"/>
                <w:szCs w:val="32"/>
                <w:u w:val="none"/>
                <w:lang w:val="en-US" w:eastAsia="zh-CN" w:bidi="ar"/>
              </w:rPr>
              <w:t>服务报价单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工程材料项目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2T锅炉化学清洗</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清洗药剂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2T锅炉煮炉及防腐钝化</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钝化药剂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蒸汽锅炉炉膛除尘维修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材料及人工费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燃烧器耐火层拆除及修复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材料及人工费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锅炉水处理调试及检测水质费用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人工及检测费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  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税  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  计</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6"/>
                <w:szCs w:val="2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bl>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pPr>
        <w:spacing w:line="500" w:lineRule="exact"/>
        <w:ind w:firstLine="480" w:firstLineChars="200"/>
        <w:rPr>
          <w:rFonts w:hint="eastAsia" w:ascii="宋体" w:hAnsi="宋体"/>
          <w:sz w:val="24"/>
        </w:rPr>
      </w:pPr>
      <w:r>
        <w:rPr>
          <w:rFonts w:hint="eastAsia" w:ascii="宋体" w:hAnsi="宋体"/>
          <w:sz w:val="24"/>
        </w:rPr>
        <w:t>二、申请人的资格要求</w:t>
      </w:r>
    </w:p>
    <w:p>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hint="eastAsia" w:ascii="宋体" w:hAnsi="宋体"/>
          <w:sz w:val="24"/>
        </w:rPr>
      </w:pPr>
      <w:r>
        <w:rPr>
          <w:rFonts w:hint="eastAsia" w:ascii="宋体" w:hAnsi="宋体"/>
          <w:sz w:val="24"/>
        </w:rPr>
        <w:t>（1）具有独立承担民事责任的能力；</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w:t>
      </w:r>
      <w:r>
        <w:rPr>
          <w:rFonts w:hint="eastAsia" w:ascii="宋体" w:hAnsi="宋体"/>
          <w:sz w:val="24"/>
          <w:lang w:eastAsia="zh-CN"/>
        </w:rPr>
        <w:t>备相关（锅炉清洗）资质</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8</w:t>
      </w:r>
      <w:r>
        <w:rPr>
          <w:rFonts w:hint="eastAsia" w:ascii="宋体" w:hAnsi="宋体" w:cs="宋体"/>
          <w:kern w:val="0"/>
          <w:sz w:val="24"/>
        </w:rPr>
        <w:t>号楼</w:t>
      </w:r>
      <w:r>
        <w:rPr>
          <w:rFonts w:hint="eastAsia" w:ascii="宋体" w:hAnsi="宋体" w:cs="宋体"/>
          <w:kern w:val="0"/>
          <w:sz w:val="24"/>
          <w:lang w:val="en-US" w:eastAsia="zh-CN"/>
        </w:rPr>
        <w:t>819</w:t>
      </w:r>
      <w:r>
        <w:rPr>
          <w:rFonts w:hint="eastAsia" w:ascii="宋体" w:hAnsi="宋体" w:cs="宋体"/>
          <w:kern w:val="0"/>
          <w:sz w:val="24"/>
        </w:rPr>
        <w:t>室</w:t>
      </w:r>
    </w:p>
    <w:p>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4</w:t>
      </w:r>
      <w:r>
        <w:rPr>
          <w:rFonts w:hint="eastAsia" w:ascii="宋体" w:hAnsi="宋体" w:cs="宋体"/>
          <w:color w:val="FF0000"/>
          <w:kern w:val="0"/>
          <w:sz w:val="24"/>
        </w:rPr>
        <w:t>年</w:t>
      </w:r>
      <w:r>
        <w:rPr>
          <w:rFonts w:hint="eastAsia" w:ascii="宋体" w:hAnsi="宋体" w:cs="宋体"/>
          <w:color w:val="FF0000"/>
          <w:kern w:val="0"/>
          <w:sz w:val="24"/>
          <w:lang w:val="en-US" w:eastAsia="zh-CN"/>
        </w:rPr>
        <w:t>6</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5 </w:t>
      </w:r>
      <w:r>
        <w:rPr>
          <w:rFonts w:hint="eastAsia" w:ascii="宋体" w:hAnsi="宋体" w:cs="宋体"/>
          <w:color w:val="FF0000"/>
          <w:kern w:val="0"/>
          <w:sz w:val="24"/>
        </w:rPr>
        <w:t>日上午</w:t>
      </w:r>
      <w:r>
        <w:rPr>
          <w:rFonts w:hint="eastAsia" w:ascii="宋体" w:hAnsi="宋体" w:cs="宋体"/>
          <w:color w:val="FF0000"/>
          <w:kern w:val="0"/>
          <w:sz w:val="24"/>
          <w:lang w:val="en-US" w:eastAsia="zh-CN"/>
        </w:rPr>
        <w:t>9</w:t>
      </w:r>
      <w:r>
        <w:rPr>
          <w:rFonts w:hint="eastAsia" w:ascii="宋体" w:hAnsi="宋体" w:cs="宋体"/>
          <w:color w:val="FF0000"/>
          <w:kern w:val="0"/>
          <w:sz w:val="24"/>
        </w:rPr>
        <w:t>时</w:t>
      </w:r>
      <w:r>
        <w:rPr>
          <w:rFonts w:hint="eastAsia" w:ascii="宋体" w:hAnsi="宋体" w:cs="宋体"/>
          <w:color w:val="FF0000"/>
          <w:kern w:val="0"/>
          <w:sz w:val="24"/>
          <w:lang w:val="en-US" w:eastAsia="zh-CN"/>
        </w:rPr>
        <w:t>00</w:t>
      </w:r>
      <w:r>
        <w:rPr>
          <w:rFonts w:hint="eastAsia" w:ascii="宋体" w:hAnsi="宋体" w:cs="宋体"/>
          <w:color w:val="FF0000"/>
          <w:kern w:val="0"/>
          <w:sz w:val="24"/>
        </w:rPr>
        <w:t>分（北京时间）</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pPr>
        <w:widowControl/>
        <w:spacing w:line="360" w:lineRule="auto"/>
        <w:ind w:firstLine="482"/>
        <w:jc w:val="left"/>
        <w:rPr>
          <w:rFonts w:hint="eastAsia" w:ascii="宋体" w:hAnsi="宋体" w:eastAsia="宋体" w:cs="宋体"/>
          <w:bCs/>
          <w:kern w:val="0"/>
          <w:sz w:val="24"/>
          <w:lang w:eastAsia="zh-CN"/>
        </w:rPr>
      </w:pPr>
      <w:r>
        <w:rPr>
          <w:rFonts w:hint="eastAsia" w:ascii="宋体" w:hAnsi="宋体" w:cs="宋体"/>
          <w:bCs/>
          <w:kern w:val="0"/>
          <w:sz w:val="24"/>
        </w:rPr>
        <w:t>联 系 人：</w:t>
      </w:r>
      <w:r>
        <w:rPr>
          <w:rFonts w:hint="eastAsia" w:ascii="宋体" w:hAnsi="宋体" w:cs="宋体"/>
          <w:bCs/>
          <w:kern w:val="0"/>
          <w:sz w:val="24"/>
          <w:lang w:val="en-US" w:eastAsia="zh-CN"/>
        </w:rPr>
        <w:t>邵奇</w:t>
      </w:r>
    </w:p>
    <w:p>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16"/>
        <w:ind w:firstLine="480" w:firstLineChars="200"/>
        <w:rPr>
          <w:rFonts w:ascii="宋体" w:hAnsi="宋体" w:cs="宋体"/>
          <w:kern w:val="0"/>
        </w:rPr>
      </w:pPr>
    </w:p>
    <w:p>
      <w:pPr>
        <w:pStyle w:val="16"/>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30</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pPr>
        <w:pStyle w:val="3"/>
      </w:pPr>
      <w:bookmarkStart w:id="8" w:name="_Toc8390"/>
      <w:r>
        <w:rPr>
          <w:rFonts w:hint="eastAsia"/>
        </w:rPr>
        <w:t>供应商须知前附表</w:t>
      </w:r>
      <w:bookmarkEnd w:id="8"/>
    </w:p>
    <w:p>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widowControl/>
              <w:spacing w:line="360" w:lineRule="auto"/>
              <w:jc w:val="left"/>
              <w:rPr>
                <w:rFonts w:ascii="宋体" w:hAnsi="宋体"/>
                <w:szCs w:val="21"/>
              </w:rPr>
            </w:pPr>
            <w:r>
              <w:rPr>
                <w:rFonts w:hint="eastAsia" w:ascii="宋体" w:hAnsi="宋体"/>
                <w:sz w:val="24"/>
                <w:lang w:val="en-US" w:eastAsia="zh-CN"/>
              </w:rPr>
              <w:t>黄石市中心医院锅炉清洗及维修服务项目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lang w:eastAsia="zh-CN"/>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hint="default" w:ascii="宋体" w:hAnsi="宋体"/>
                <w:szCs w:val="21"/>
                <w:lang w:val="en-US"/>
              </w:rPr>
            </w:pPr>
            <w:r>
              <w:rPr>
                <w:rFonts w:hint="eastAsia" w:ascii="宋体" w:hAnsi="宋体"/>
                <w:sz w:val="24"/>
                <w:lang w:val="en-US" w:eastAsia="zh-CN"/>
              </w:rPr>
              <w:t>锅炉清洗及维修服务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hint="eastAsia" w:ascii="宋体" w:hAnsi="宋体" w:eastAsia="宋体" w:cs="宋体"/>
                <w:szCs w:val="21"/>
                <w:lang w:eastAsia="zh-CN"/>
              </w:rPr>
            </w:pPr>
            <w:r>
              <w:rPr>
                <w:rFonts w:ascii="宋体" w:hAnsi="宋体" w:cs="宋体"/>
                <w:szCs w:val="21"/>
              </w:rPr>
              <w:t>正本一份、副本</w:t>
            </w:r>
            <w:r>
              <w:rPr>
                <w:rFonts w:hint="eastAsia" w:ascii="宋体" w:hAnsi="宋体" w:cs="宋体"/>
                <w:szCs w:val="21"/>
                <w:lang w:val="en-US" w:eastAsia="zh-CN"/>
              </w:rPr>
              <w:t>二</w:t>
            </w:r>
            <w:r>
              <w:rPr>
                <w:rFonts w:ascii="宋体" w:hAnsi="宋体" w:cs="宋体"/>
                <w:szCs w:val="21"/>
              </w:rPr>
              <w:t>份</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hint="eastAsia" w:ascii="宋体" w:hAnsi="宋体" w:cs="宋体"/>
                <w:color w:val="000000"/>
                <w:kern w:val="0"/>
                <w:szCs w:val="21"/>
                <w:lang w:val="en-US" w:eastAsia="zh-CN"/>
              </w:rPr>
              <w:t>2024</w:t>
            </w:r>
            <w:r>
              <w:rPr>
                <w:rFonts w:hint="eastAsia" w:ascii="宋体" w:hAnsi="宋体" w:cs="宋体"/>
                <w:color w:val="000000"/>
                <w:kern w:val="0"/>
                <w:szCs w:val="21"/>
              </w:rPr>
              <w:t>年</w:t>
            </w:r>
            <w:r>
              <w:rPr>
                <w:rFonts w:hint="eastAsia" w:ascii="宋体" w:hAnsi="宋体" w:cs="宋体"/>
                <w:color w:val="000000"/>
                <w:kern w:val="0"/>
                <w:szCs w:val="21"/>
                <w:lang w:val="en-US" w:eastAsia="zh-CN"/>
              </w:rPr>
              <w:t>5</w:t>
            </w:r>
            <w:r>
              <w:rPr>
                <w:rFonts w:hint="eastAsia" w:ascii="宋体" w:hAnsi="宋体" w:cs="宋体"/>
                <w:color w:val="000000"/>
                <w:kern w:val="0"/>
                <w:szCs w:val="21"/>
              </w:rPr>
              <w:t>月</w:t>
            </w:r>
            <w:r>
              <w:rPr>
                <w:rFonts w:hint="eastAsia" w:ascii="宋体" w:hAnsi="宋体" w:cs="宋体"/>
                <w:color w:val="000000"/>
                <w:kern w:val="0"/>
                <w:szCs w:val="21"/>
                <w:lang w:val="en-US" w:eastAsia="zh-CN"/>
              </w:rPr>
              <w:t>15</w:t>
            </w:r>
            <w:r>
              <w:rPr>
                <w:rFonts w:hint="eastAsia" w:ascii="宋体" w:hAnsi="宋体" w:cs="宋体"/>
                <w:color w:val="000000"/>
                <w:kern w:val="0"/>
                <w:szCs w:val="21"/>
              </w:rPr>
              <w:t>日</w:t>
            </w:r>
            <w:r>
              <w:rPr>
                <w:rFonts w:hint="eastAsia" w:ascii="宋体" w:hAnsi="宋体" w:cs="宋体"/>
                <w:color w:val="000000"/>
                <w:kern w:val="0"/>
                <w:szCs w:val="21"/>
                <w:lang w:val="en-US" w:eastAsia="zh-CN"/>
              </w:rPr>
              <w:t>9</w:t>
            </w:r>
            <w:r>
              <w:rPr>
                <w:rFonts w:hint="eastAsia" w:ascii="宋体" w:hAnsi="宋体" w:cs="宋体"/>
                <w:color w:val="000000"/>
                <w:kern w:val="0"/>
                <w:szCs w:val="21"/>
              </w:rPr>
              <w:t>时</w:t>
            </w:r>
            <w:r>
              <w:rPr>
                <w:rFonts w:hint="eastAsia" w:ascii="宋体" w:hAnsi="宋体" w:cs="宋体"/>
                <w:color w:val="000000"/>
                <w:kern w:val="0"/>
                <w:szCs w:val="21"/>
                <w:lang w:val="en-US" w:eastAsia="zh-CN"/>
              </w:rPr>
              <w:t>00</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67"/>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3"/>
      </w:pPr>
      <w:bookmarkStart w:id="9" w:name="_Toc13748"/>
      <w:bookmarkStart w:id="10" w:name="_Toc535832519"/>
      <w:bookmarkStart w:id="11" w:name="_Toc120411798"/>
      <w:r>
        <w:t>二、谈判文件</w:t>
      </w:r>
      <w:bookmarkEnd w:id="9"/>
      <w:bookmarkEnd w:id="10"/>
      <w:bookmarkEnd w:id="11"/>
    </w:p>
    <w:p>
      <w:pPr>
        <w:pStyle w:val="111"/>
        <w:tabs>
          <w:tab w:val="left" w:pos="1155"/>
          <w:tab w:val="clear" w:pos="425"/>
          <w:tab w:val="clear" w:pos="1134"/>
        </w:tabs>
        <w:spacing w:before="0" w:after="0"/>
        <w:ind w:left="1157" w:hanging="1157"/>
      </w:pPr>
      <w:bookmarkStart w:id="12" w:name="_Toc16768"/>
      <w:bookmarkStart w:id="13" w:name="_Toc120411799"/>
      <w:bookmarkStart w:id="14" w:name="_Toc535832520"/>
      <w:r>
        <w:t>谈判文件的构成</w:t>
      </w:r>
      <w:bookmarkEnd w:id="12"/>
      <w:bookmarkEnd w:id="13"/>
      <w:bookmarkEnd w:id="1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11"/>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11"/>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11"/>
        <w:tabs>
          <w:tab w:val="left" w:pos="1155"/>
          <w:tab w:val="clear" w:pos="425"/>
          <w:tab w:val="clear" w:pos="1134"/>
        </w:tabs>
        <w:spacing w:before="0" w:after="0"/>
        <w:ind w:left="1157" w:hanging="1157"/>
      </w:pPr>
      <w:bookmarkStart w:id="25" w:name="_Toc535832525"/>
      <w:bookmarkStart w:id="26" w:name="_Toc120411804"/>
      <w:bookmarkStart w:id="27" w:name="_Toc24505"/>
      <w:r>
        <w:t>响应文件的构成</w:t>
      </w:r>
      <w:bookmarkEnd w:id="25"/>
      <w:bookmarkEnd w:id="26"/>
      <w:bookmarkEnd w:id="2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11"/>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11"/>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3"/>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2"/>
        <w:jc w:val="center"/>
      </w:pPr>
      <w:bookmarkStart w:id="54" w:name="_Toc136229090"/>
      <w:bookmarkStart w:id="55" w:name="_Toc535814466"/>
      <w:bookmarkStart w:id="56" w:name="_Toc535891688"/>
      <w:bookmarkStart w:id="57" w:name="_Toc535815711"/>
      <w:bookmarkStart w:id="58" w:name="_Toc535832555"/>
      <w:bookmarkStart w:id="59" w:name="_Toc535891855"/>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黄石市中心医院锅炉清洗及维修服务项目</w:t>
      </w:r>
    </w:p>
    <w:p>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27000元</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4、报备内容：</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第1条 两台锅炉存在炉内腐蚀，现象，应系统性的做好锅炉停炉期间的保养工作；</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第2条 水介质测结有水垢，应进行化学清洗，清洗完成后做好煮炉工作，防止进一步腐蚀；</w:t>
      </w:r>
    </w:p>
    <w:p>
      <w:pPr>
        <w:spacing w:line="500" w:lineRule="exact"/>
        <w:ind w:firstLine="480" w:firstLineChars="200"/>
        <w:rPr>
          <w:rFonts w:hint="default" w:ascii="宋体" w:hAnsi="宋体"/>
          <w:sz w:val="24"/>
          <w:lang w:val="en-US" w:eastAsia="zh-CN"/>
        </w:rPr>
      </w:pPr>
      <w:r>
        <w:rPr>
          <w:rFonts w:hint="eastAsia" w:ascii="宋体" w:hAnsi="宋体"/>
          <w:sz w:val="24"/>
          <w:lang w:val="en-US" w:eastAsia="zh-CN"/>
        </w:rPr>
        <w:t>第3条 蒸汽锅炉前管板盖板燃烧器处的耐火层存在破损，应修复。</w:t>
      </w:r>
    </w:p>
    <w:p>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p>
    <w:tbl>
      <w:tblPr>
        <w:tblStyle w:val="38"/>
        <w:tblW w:w="9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5"/>
        <w:gridCol w:w="3240"/>
        <w:gridCol w:w="1770"/>
        <w:gridCol w:w="765"/>
        <w:gridCol w:w="735"/>
        <w:gridCol w:w="91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6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65" w:name="_GoBack"/>
            <w:bookmarkEnd w:id="65"/>
            <w:r>
              <w:rPr>
                <w:rFonts w:hint="eastAsia" w:ascii="宋体" w:hAnsi="宋体" w:eastAsia="宋体" w:cs="宋体"/>
                <w:b/>
                <w:bCs/>
                <w:i w:val="0"/>
                <w:iCs w:val="0"/>
                <w:color w:val="000000"/>
                <w:kern w:val="0"/>
                <w:sz w:val="32"/>
                <w:szCs w:val="32"/>
                <w:u w:val="none"/>
                <w:lang w:val="en-US" w:eastAsia="zh-CN" w:bidi="ar"/>
              </w:rPr>
              <w:t>锅炉</w:t>
            </w:r>
            <w:r>
              <w:rPr>
                <w:rFonts w:hint="eastAsia" w:ascii="宋体" w:hAnsi="宋体" w:cs="宋体"/>
                <w:b/>
                <w:bCs/>
                <w:i w:val="0"/>
                <w:iCs w:val="0"/>
                <w:color w:val="000000"/>
                <w:kern w:val="0"/>
                <w:sz w:val="32"/>
                <w:szCs w:val="32"/>
                <w:u w:val="none"/>
                <w:lang w:val="en-US" w:eastAsia="zh-CN" w:bidi="ar"/>
              </w:rPr>
              <w:t>清洗及维修</w:t>
            </w:r>
            <w:r>
              <w:rPr>
                <w:rFonts w:hint="eastAsia" w:ascii="宋体" w:hAnsi="宋体" w:eastAsia="宋体" w:cs="宋体"/>
                <w:b/>
                <w:bCs/>
                <w:i w:val="0"/>
                <w:iCs w:val="0"/>
                <w:color w:val="000000"/>
                <w:kern w:val="0"/>
                <w:sz w:val="32"/>
                <w:szCs w:val="32"/>
                <w:u w:val="none"/>
                <w:lang w:val="en-US" w:eastAsia="zh-CN" w:bidi="ar"/>
              </w:rPr>
              <w:t>服务报价单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工程材料项目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规格及品牌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2T锅炉化学清洗</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清洗药剂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2T锅炉煮炉及防腐钝化</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钝化药剂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3</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蒸汽锅炉炉膛除尘维修</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材料及人工费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4</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燃烧器耐火层拆除及修复</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材料及人工费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5</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锅炉水处理调试及检测水质费用</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人工及检测费</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6</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  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7</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税  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8</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  计</w:t>
            </w:r>
          </w:p>
        </w:tc>
        <w:tc>
          <w:tcPr>
            <w:tcW w:w="41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6"/>
                <w:szCs w:val="2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i w:val="0"/>
                <w:iCs w:val="0"/>
                <w:color w:val="000000"/>
                <w:sz w:val="28"/>
                <w:szCs w:val="28"/>
                <w:u w:val="none"/>
              </w:rPr>
            </w:pPr>
          </w:p>
        </w:tc>
      </w:tr>
    </w:tbl>
    <w:p>
      <w:pPr>
        <w:spacing w:line="500" w:lineRule="exact"/>
        <w:ind w:firstLine="480" w:firstLineChars="200"/>
        <w:rPr>
          <w:rFonts w:hint="eastAsia" w:ascii="宋体" w:hAnsi="宋体"/>
          <w:sz w:val="24"/>
        </w:rPr>
      </w:pPr>
    </w:p>
    <w:p>
      <w:pPr>
        <w:spacing w:line="500" w:lineRule="exact"/>
        <w:ind w:firstLine="480" w:firstLineChars="200"/>
        <w:rPr>
          <w:rFonts w:hint="eastAsia" w:ascii="宋体" w:hAnsi="宋体" w:eastAsia="宋体"/>
          <w:sz w:val="24"/>
          <w:lang w:val="en-US" w:eastAsia="zh-CN"/>
        </w:rPr>
      </w:pPr>
      <w:r>
        <w:rPr>
          <w:rFonts w:hint="eastAsia" w:ascii="宋体" w:hAnsi="宋体"/>
          <w:sz w:val="24"/>
          <w:lang w:val="en-US" w:eastAsia="zh-CN"/>
        </w:rPr>
        <w:t>6</w:t>
      </w:r>
      <w:r>
        <w:rPr>
          <w:rFonts w:hint="eastAsia" w:ascii="宋体" w:hAnsi="宋体"/>
          <w:sz w:val="24"/>
        </w:rPr>
        <w:t>、本项目不接受联合体响应</w:t>
      </w:r>
      <w:r>
        <w:rPr>
          <w:rFonts w:hint="eastAsia" w:ascii="宋体" w:hAnsi="宋体"/>
          <w:sz w:val="24"/>
          <w:lang w:eastAsia="zh-CN"/>
        </w:rPr>
        <w:t>。</w:t>
      </w:r>
    </w:p>
    <w:p>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67"/>
        <w:spacing w:line="300" w:lineRule="auto"/>
        <w:jc w:val="both"/>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Ansi="宋体" w:cs="Arial"/>
          <w:b/>
          <w:color w:val="auto"/>
        </w:rPr>
      </w:pPr>
    </w:p>
    <w:p>
      <w:pPr>
        <w:pStyle w:val="67"/>
        <w:spacing w:line="300" w:lineRule="auto"/>
        <w:jc w:val="center"/>
        <w:rPr>
          <w:rFonts w:hint="eastAsia" w:hAnsi="宋体" w:cs="Arial"/>
          <w:b/>
          <w:color w:val="auto"/>
          <w:lang w:val="en-US" w:eastAsia="zh-CN"/>
        </w:rPr>
      </w:pPr>
    </w:p>
    <w:p>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pPr>
        <w:pStyle w:val="67"/>
        <w:spacing w:line="500" w:lineRule="exact"/>
        <w:jc w:val="both"/>
        <w:rPr>
          <w:rFonts w:ascii="Arial" w:hAnsi="Arial" w:cs="Arial"/>
          <w:color w:val="auto"/>
        </w:rPr>
      </w:pPr>
    </w:p>
    <w:p>
      <w:pPr>
        <w:pStyle w:val="67"/>
        <w:spacing w:line="500" w:lineRule="exact"/>
        <w:jc w:val="both"/>
        <w:rPr>
          <w:rFonts w:ascii="Arial" w:hAnsi="Arial" w:cs="Arial"/>
          <w:color w:val="auto"/>
        </w:rPr>
      </w:pPr>
      <w:r>
        <w:rPr>
          <w:rFonts w:ascii="Arial" w:hAnsi="Arial" w:cs="Arial"/>
          <w:color w:val="auto"/>
        </w:rPr>
        <w:t xml:space="preserve">供应商名称：                               </w:t>
      </w:r>
    </w:p>
    <w:p>
      <w:pPr>
        <w:pStyle w:val="67"/>
        <w:spacing w:line="500" w:lineRule="exact"/>
        <w:jc w:val="both"/>
        <w:rPr>
          <w:rFonts w:ascii="Arial" w:hAnsi="Arial" w:cs="Arial"/>
          <w:color w:val="auto"/>
        </w:rPr>
      </w:pPr>
      <w:r>
        <w:rPr>
          <w:rFonts w:ascii="Arial" w:hAnsi="Arial" w:cs="Arial"/>
          <w:color w:val="auto"/>
        </w:rPr>
        <w:t xml:space="preserve">单位性质：                                </w:t>
      </w:r>
    </w:p>
    <w:p>
      <w:pPr>
        <w:pStyle w:val="67"/>
        <w:spacing w:line="500" w:lineRule="exact"/>
        <w:jc w:val="both"/>
        <w:rPr>
          <w:rFonts w:ascii="Arial" w:hAnsi="Arial" w:cs="Arial"/>
          <w:color w:val="auto"/>
        </w:rPr>
      </w:pPr>
      <w:r>
        <w:rPr>
          <w:rFonts w:ascii="Arial" w:hAnsi="Arial" w:cs="Arial"/>
          <w:color w:val="auto"/>
        </w:rPr>
        <w:t xml:space="preserve">成立时间：         年          月        日 </w:t>
      </w:r>
    </w:p>
    <w:p>
      <w:pPr>
        <w:pStyle w:val="67"/>
        <w:spacing w:line="500" w:lineRule="exact"/>
        <w:jc w:val="both"/>
        <w:rPr>
          <w:rFonts w:ascii="Arial" w:hAnsi="Arial" w:cs="Arial"/>
          <w:color w:val="auto"/>
        </w:rPr>
      </w:pPr>
      <w:r>
        <w:rPr>
          <w:rFonts w:ascii="Arial" w:hAnsi="Arial" w:cs="Arial"/>
          <w:color w:val="auto"/>
        </w:rPr>
        <w:t xml:space="preserve">经营期限：                                   </w:t>
      </w:r>
    </w:p>
    <w:p>
      <w:pPr>
        <w:pStyle w:val="67"/>
        <w:spacing w:line="500" w:lineRule="exact"/>
        <w:jc w:val="both"/>
        <w:rPr>
          <w:rFonts w:ascii="Arial" w:hAnsi="Arial" w:cs="Arial"/>
          <w:color w:val="auto"/>
        </w:rPr>
      </w:pPr>
      <w:r>
        <w:rPr>
          <w:rFonts w:ascii="Arial" w:hAnsi="Arial" w:cs="Arial"/>
          <w:color w:val="auto"/>
        </w:rPr>
        <w:t xml:space="preserve">姓名：         性别：         年龄：         职务：         </w:t>
      </w:r>
    </w:p>
    <w:p>
      <w:pPr>
        <w:pStyle w:val="67"/>
        <w:spacing w:line="500" w:lineRule="exact"/>
        <w:jc w:val="both"/>
        <w:rPr>
          <w:rFonts w:ascii="Arial" w:hAnsi="Arial" w:cs="Arial"/>
          <w:color w:val="auto"/>
        </w:rPr>
      </w:pPr>
      <w:r>
        <w:rPr>
          <w:rFonts w:ascii="Arial" w:hAnsi="Arial" w:cs="Arial"/>
          <w:color w:val="auto"/>
        </w:rPr>
        <w:t>系                                （供应商名称）的法定代表人</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特此证明。</w:t>
      </w: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p>
    <w:p>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67"/>
        <w:spacing w:line="500" w:lineRule="exact"/>
        <w:ind w:firstLine="5040" w:firstLineChars="2100"/>
        <w:jc w:val="both"/>
        <w:rPr>
          <w:rFonts w:ascii="Arial" w:hAnsi="Arial" w:cs="Arial"/>
          <w:color w:val="auto"/>
        </w:rPr>
      </w:pPr>
    </w:p>
    <w:p>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67"/>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p>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iMzJkYmJjNWFjMDdjMDllNDg3NDE1MmU0N2FlOTAifQ=="/>
  </w:docVars>
  <w:rsids>
    <w:rsidRoot w:val="00E84365"/>
    <w:rsid w:val="002C6D24"/>
    <w:rsid w:val="00400454"/>
    <w:rsid w:val="00500B22"/>
    <w:rsid w:val="00E84365"/>
    <w:rsid w:val="00EF2BFE"/>
    <w:rsid w:val="01050F22"/>
    <w:rsid w:val="032633D2"/>
    <w:rsid w:val="05D644FD"/>
    <w:rsid w:val="0707343C"/>
    <w:rsid w:val="0C0B585A"/>
    <w:rsid w:val="0F334CB6"/>
    <w:rsid w:val="0FE660EF"/>
    <w:rsid w:val="1A732F49"/>
    <w:rsid w:val="1D187DD7"/>
    <w:rsid w:val="1DE024B0"/>
    <w:rsid w:val="24480FA2"/>
    <w:rsid w:val="24FE0644"/>
    <w:rsid w:val="2CFC247F"/>
    <w:rsid w:val="300A1801"/>
    <w:rsid w:val="31EC41F6"/>
    <w:rsid w:val="31ED13C9"/>
    <w:rsid w:val="37317C9C"/>
    <w:rsid w:val="39260DA8"/>
    <w:rsid w:val="3AF45588"/>
    <w:rsid w:val="3D932E36"/>
    <w:rsid w:val="420A2D78"/>
    <w:rsid w:val="47256022"/>
    <w:rsid w:val="47482EE3"/>
    <w:rsid w:val="474B29D4"/>
    <w:rsid w:val="477737C9"/>
    <w:rsid w:val="48594125"/>
    <w:rsid w:val="48FD1AAC"/>
    <w:rsid w:val="4DB017E2"/>
    <w:rsid w:val="50E81293"/>
    <w:rsid w:val="53DD50D1"/>
    <w:rsid w:val="5B70435F"/>
    <w:rsid w:val="63DA2CBD"/>
    <w:rsid w:val="74C71C6E"/>
    <w:rsid w:val="79051A3B"/>
    <w:rsid w:val="79CF2008"/>
    <w:rsid w:val="79D1456C"/>
    <w:rsid w:val="7A6678BB"/>
    <w:rsid w:val="7D6413FE"/>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autoRedefine/>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autoRedefine/>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6317</Words>
  <Characters>6556</Characters>
  <Lines>69</Lines>
  <Paragraphs>19</Paragraphs>
  <TotalTime>40</TotalTime>
  <ScaleCrop>false</ScaleCrop>
  <LinksUpToDate>false</LinksUpToDate>
  <CharactersWithSpaces>7189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庆</cp:lastModifiedBy>
  <cp:lastPrinted>2024-05-31T01:04:14Z</cp:lastPrinted>
  <dcterms:modified xsi:type="dcterms:W3CDTF">2024-05-31T01:13:59Z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C69DAD42700E45DA80B20489F813B7C4_13</vt:lpwstr>
  </property>
</Properties>
</file>