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ascii="宋体" w:hAnsi="宋体"/>
          <w:sz w:val="10"/>
          <w:szCs w:val="10"/>
        </w:rPr>
      </w:pPr>
      <w:r>
        <w:rPr>
          <w:rFonts w:hint="eastAsia" w:ascii="宋体" w:hAnsi="宋体"/>
          <w:sz w:val="10"/>
          <w:szCs w:val="10"/>
        </w:rPr>
        <w:t xml:space="preserve">                            </w:t>
      </w:r>
    </w:p>
    <w:p>
      <w:pPr>
        <w:wordWrap w:val="0"/>
        <w:spacing w:line="720" w:lineRule="auto"/>
        <w:jc w:val="right"/>
        <w:rPr>
          <w:rFonts w:ascii="宋体" w:hAnsi="宋体"/>
          <w:b/>
          <w:sz w:val="32"/>
        </w:rPr>
      </w:pPr>
    </w:p>
    <w:p>
      <w:pPr>
        <w:jc w:val="center"/>
        <w:rPr>
          <w:rFonts w:ascii="宋体" w:hAnsi="宋体"/>
          <w:b/>
          <w:bCs/>
          <w:sz w:val="92"/>
          <w:szCs w:val="92"/>
        </w:rPr>
      </w:pPr>
    </w:p>
    <w:p>
      <w:pPr>
        <w:jc w:val="center"/>
        <w:rPr>
          <w:rFonts w:ascii="宋体" w:hAnsi="宋体"/>
          <w:b/>
          <w:bCs/>
          <w:sz w:val="92"/>
          <w:szCs w:val="92"/>
        </w:rPr>
      </w:pPr>
      <w:r>
        <w:rPr>
          <w:rFonts w:hint="eastAsia" w:ascii="宋体" w:hAnsi="宋体"/>
          <w:b/>
          <w:bCs/>
          <w:sz w:val="92"/>
          <w:szCs w:val="92"/>
        </w:rPr>
        <w:t>竞争性谈判文件</w:t>
      </w:r>
    </w:p>
    <w:p>
      <w:pPr>
        <w:spacing w:line="480" w:lineRule="auto"/>
        <w:jc w:val="center"/>
        <w:rPr>
          <w:rFonts w:ascii="宋体" w:hAnsi="宋体"/>
          <w:sz w:val="30"/>
          <w:szCs w:val="30"/>
          <w:lang w:val="hr-HR" w:bidi="ar-EG"/>
        </w:rPr>
      </w:pPr>
    </w:p>
    <w:p>
      <w:pPr>
        <w:spacing w:line="480" w:lineRule="auto"/>
        <w:jc w:val="center"/>
        <w:rPr>
          <w:rFonts w:ascii="宋体" w:hAnsi="宋体"/>
          <w:sz w:val="30"/>
          <w:szCs w:val="30"/>
          <w:lang w:val="hr-HR" w:bidi="ar-EG"/>
        </w:rPr>
      </w:pPr>
    </w:p>
    <w:p>
      <w:pPr>
        <w:pStyle w:val="8"/>
        <w:tabs>
          <w:tab w:val="left" w:pos="703"/>
        </w:tabs>
        <w:rPr>
          <w:rFonts w:hAnsi="宋体"/>
          <w:sz w:val="24"/>
          <w:szCs w:val="24"/>
        </w:rPr>
      </w:pPr>
    </w:p>
    <w:p>
      <w:pPr>
        <w:pStyle w:val="8"/>
        <w:tabs>
          <w:tab w:val="left" w:pos="703"/>
        </w:tabs>
        <w:rPr>
          <w:rFonts w:hAnsi="宋体"/>
          <w:sz w:val="24"/>
          <w:szCs w:val="24"/>
        </w:rPr>
      </w:pPr>
    </w:p>
    <w:tbl>
      <w:tblPr>
        <w:tblStyle w:val="11"/>
        <w:tblW w:w="0" w:type="auto"/>
        <w:jc w:val="center"/>
        <w:tblLayout w:type="fixed"/>
        <w:tblCellMar>
          <w:top w:w="57" w:type="dxa"/>
          <w:left w:w="57" w:type="dxa"/>
          <w:bottom w:w="57" w:type="dxa"/>
          <w:right w:w="57" w:type="dxa"/>
        </w:tblCellMar>
      </w:tblPr>
      <w:tblGrid>
        <w:gridCol w:w="1514"/>
        <w:gridCol w:w="6543"/>
      </w:tblGrid>
      <w:tr>
        <w:tblPrEx>
          <w:tblCellMar>
            <w:top w:w="57" w:type="dxa"/>
            <w:left w:w="57" w:type="dxa"/>
            <w:bottom w:w="57" w:type="dxa"/>
            <w:right w:w="57" w:type="dxa"/>
          </w:tblCellMar>
        </w:tblPrEx>
        <w:trPr>
          <w:trHeight w:val="1164" w:hRule="atLeast"/>
          <w:jc w:val="center"/>
        </w:trPr>
        <w:tc>
          <w:tcPr>
            <w:tcW w:w="1514" w:type="dxa"/>
          </w:tcPr>
          <w:p>
            <w:pPr>
              <w:spacing w:before="120" w:after="120"/>
              <w:jc w:val="right"/>
              <w:textAlignment w:val="center"/>
              <w:rPr>
                <w:rFonts w:ascii="宋体" w:hAnsi="宋体" w:cs="宋体"/>
                <w:sz w:val="28"/>
                <w:szCs w:val="36"/>
              </w:rPr>
            </w:pPr>
            <w:r>
              <w:rPr>
                <w:rFonts w:hint="eastAsia" w:ascii="宋体" w:hAnsi="宋体" w:cs="宋体"/>
                <w:sz w:val="28"/>
                <w:szCs w:val="36"/>
              </w:rPr>
              <w:t>项目名称：</w:t>
            </w:r>
          </w:p>
        </w:tc>
        <w:tc>
          <w:tcPr>
            <w:tcW w:w="6543" w:type="dxa"/>
          </w:tcPr>
          <w:p>
            <w:pPr>
              <w:spacing w:line="500" w:lineRule="exact"/>
              <w:ind w:firstLine="480" w:firstLineChars="200"/>
              <w:rPr>
                <w:rFonts w:hint="default" w:ascii="宋体" w:hAnsi="宋体"/>
                <w:sz w:val="24"/>
                <w:lang w:val="en-US"/>
              </w:rPr>
            </w:pPr>
            <w:r>
              <w:rPr>
                <w:rFonts w:hint="eastAsia" w:ascii="宋体" w:hAnsi="宋体"/>
                <w:sz w:val="24"/>
                <w:lang w:val="en-US" w:eastAsia="zh-CN"/>
              </w:rPr>
              <w:t>黄石市中心医院6号楼无线网络维护项目</w:t>
            </w:r>
          </w:p>
          <w:p>
            <w:pPr>
              <w:spacing w:line="360" w:lineRule="auto"/>
              <w:jc w:val="center"/>
              <w:rPr>
                <w:rFonts w:hint="default" w:ascii="仿宋" w:hAnsi="仿宋" w:eastAsia="仿宋" w:cs="仿宋"/>
                <w:b/>
                <w:bCs/>
                <w:sz w:val="28"/>
                <w:szCs w:val="28"/>
                <w:lang w:val="en-US" w:eastAsia="zh-CN"/>
              </w:rPr>
            </w:pPr>
          </w:p>
          <w:p>
            <w:pPr>
              <w:spacing w:before="120" w:after="120"/>
              <w:textAlignment w:val="center"/>
              <w:rPr>
                <w:rFonts w:ascii="宋体" w:hAnsi="宋体" w:cs="宋体"/>
                <w:sz w:val="28"/>
                <w:szCs w:val="36"/>
              </w:rPr>
            </w:pPr>
          </w:p>
        </w:tc>
      </w:tr>
      <w:tr>
        <w:tblPrEx>
          <w:tblCellMar>
            <w:top w:w="57" w:type="dxa"/>
            <w:left w:w="57" w:type="dxa"/>
            <w:bottom w:w="57" w:type="dxa"/>
            <w:right w:w="57" w:type="dxa"/>
          </w:tblCellMar>
        </w:tblPrEx>
        <w:trPr>
          <w:trHeight w:val="811" w:hRule="atLeast"/>
          <w:jc w:val="center"/>
        </w:trPr>
        <w:tc>
          <w:tcPr>
            <w:tcW w:w="1514" w:type="dxa"/>
          </w:tcPr>
          <w:p>
            <w:pPr>
              <w:spacing w:before="120" w:after="120"/>
              <w:jc w:val="right"/>
              <w:textAlignment w:val="center"/>
              <w:rPr>
                <w:rFonts w:ascii="宋体" w:hAnsi="宋体" w:cs="宋体"/>
                <w:sz w:val="28"/>
                <w:szCs w:val="36"/>
              </w:rPr>
            </w:pPr>
            <w:r>
              <w:rPr>
                <w:rFonts w:hint="eastAsia" w:ascii="宋体" w:hAnsi="宋体" w:cs="宋体"/>
                <w:sz w:val="28"/>
                <w:szCs w:val="36"/>
              </w:rPr>
              <w:t>采购内容：</w:t>
            </w:r>
          </w:p>
        </w:tc>
        <w:tc>
          <w:tcPr>
            <w:tcW w:w="6543" w:type="dxa"/>
          </w:tcPr>
          <w:p>
            <w:pPr>
              <w:spacing w:before="120" w:after="120"/>
              <w:textAlignment w:val="center"/>
              <w:rPr>
                <w:rFonts w:ascii="宋体" w:hAnsi="宋体" w:cs="宋体"/>
                <w:sz w:val="28"/>
                <w:szCs w:val="36"/>
              </w:rPr>
            </w:pPr>
            <w:r>
              <w:rPr>
                <w:rFonts w:hint="eastAsia" w:ascii="宋体" w:hAnsi="宋体"/>
                <w:sz w:val="24"/>
                <w:lang w:val="en-US" w:eastAsia="zh-CN"/>
              </w:rPr>
              <w:t>无线网络维护</w:t>
            </w:r>
          </w:p>
        </w:tc>
      </w:tr>
    </w:tbl>
    <w:p>
      <w:pPr>
        <w:pStyle w:val="8"/>
        <w:tabs>
          <w:tab w:val="left" w:pos="703"/>
        </w:tabs>
        <w:spacing w:line="360" w:lineRule="auto"/>
        <w:rPr>
          <w:rFonts w:hAnsi="宋体" w:cs="宋体"/>
          <w:kern w:val="21"/>
          <w:sz w:val="24"/>
          <w:szCs w:val="24"/>
        </w:rPr>
      </w:pPr>
    </w:p>
    <w:p>
      <w:pPr>
        <w:pStyle w:val="8"/>
        <w:tabs>
          <w:tab w:val="left" w:pos="703"/>
        </w:tabs>
        <w:spacing w:line="360" w:lineRule="auto"/>
        <w:rPr>
          <w:rFonts w:hAnsi="宋体" w:cs="宋体"/>
          <w:kern w:val="21"/>
          <w:sz w:val="24"/>
          <w:szCs w:val="24"/>
        </w:rPr>
      </w:pPr>
    </w:p>
    <w:p>
      <w:pPr>
        <w:pStyle w:val="8"/>
        <w:tabs>
          <w:tab w:val="left" w:pos="703"/>
        </w:tabs>
        <w:spacing w:line="360" w:lineRule="auto"/>
        <w:rPr>
          <w:rFonts w:hAnsi="宋体" w:cs="宋体"/>
          <w:kern w:val="21"/>
          <w:sz w:val="24"/>
          <w:szCs w:val="24"/>
        </w:rPr>
      </w:pPr>
    </w:p>
    <w:tbl>
      <w:tblPr>
        <w:tblStyle w:val="11"/>
        <w:tblW w:w="0" w:type="auto"/>
        <w:jc w:val="center"/>
        <w:tblLayout w:type="fixed"/>
        <w:tblCellMar>
          <w:top w:w="0" w:type="dxa"/>
          <w:left w:w="108" w:type="dxa"/>
          <w:bottom w:w="0" w:type="dxa"/>
          <w:right w:w="108" w:type="dxa"/>
        </w:tblCellMar>
      </w:tblPr>
      <w:tblGrid>
        <w:gridCol w:w="7704"/>
      </w:tblGrid>
      <w:tr>
        <w:tblPrEx>
          <w:tblCellMar>
            <w:top w:w="0" w:type="dxa"/>
            <w:left w:w="108" w:type="dxa"/>
            <w:bottom w:w="0" w:type="dxa"/>
            <w:right w:w="108" w:type="dxa"/>
          </w:tblCellMar>
        </w:tblPrEx>
        <w:trPr>
          <w:jc w:val="center"/>
        </w:trPr>
        <w:tc>
          <w:tcPr>
            <w:tcW w:w="7704" w:type="dxa"/>
          </w:tcPr>
          <w:p>
            <w:pPr>
              <w:spacing w:before="120" w:after="120"/>
              <w:textAlignment w:val="center"/>
              <w:rPr>
                <w:rFonts w:ascii="宋体" w:hAnsi="宋体" w:cs="宋体"/>
                <w:sz w:val="28"/>
                <w:szCs w:val="36"/>
              </w:rPr>
            </w:pPr>
            <w:r>
              <w:rPr>
                <w:rFonts w:hint="eastAsia" w:ascii="宋体" w:hAnsi="宋体" w:cs="宋体"/>
                <w:sz w:val="28"/>
                <w:szCs w:val="36"/>
              </w:rPr>
              <w:t>采购人：</w:t>
            </w:r>
            <w:r>
              <w:rPr>
                <w:rFonts w:hint="eastAsia" w:ascii="宋体" w:hAnsi="宋体"/>
                <w:sz w:val="24"/>
              </w:rPr>
              <w:t>黄石市中心医院</w:t>
            </w:r>
          </w:p>
        </w:tc>
      </w:tr>
      <w:tr>
        <w:tblPrEx>
          <w:tblCellMar>
            <w:top w:w="0" w:type="dxa"/>
            <w:left w:w="108" w:type="dxa"/>
            <w:bottom w:w="0" w:type="dxa"/>
            <w:right w:w="108" w:type="dxa"/>
          </w:tblCellMar>
        </w:tblPrEx>
        <w:trPr>
          <w:jc w:val="center"/>
        </w:trPr>
        <w:tc>
          <w:tcPr>
            <w:tcW w:w="7704" w:type="dxa"/>
          </w:tcPr>
          <w:p>
            <w:pPr>
              <w:spacing w:before="120" w:after="120"/>
              <w:textAlignment w:val="center"/>
              <w:rPr>
                <w:rFonts w:ascii="宋体" w:hAnsi="宋体" w:cs="宋体"/>
                <w:sz w:val="28"/>
                <w:szCs w:val="36"/>
              </w:rPr>
            </w:pPr>
          </w:p>
        </w:tc>
      </w:tr>
      <w:tr>
        <w:tblPrEx>
          <w:tblCellMar>
            <w:top w:w="0" w:type="dxa"/>
            <w:left w:w="108" w:type="dxa"/>
            <w:bottom w:w="0" w:type="dxa"/>
            <w:right w:w="108" w:type="dxa"/>
          </w:tblCellMar>
        </w:tblPrEx>
        <w:trPr>
          <w:jc w:val="center"/>
        </w:trPr>
        <w:tc>
          <w:tcPr>
            <w:tcW w:w="7704" w:type="dxa"/>
          </w:tcPr>
          <w:p>
            <w:pPr>
              <w:spacing w:before="120" w:after="120"/>
              <w:textAlignment w:val="center"/>
              <w:rPr>
                <w:rFonts w:ascii="宋体" w:hAnsi="宋体" w:cs="宋体"/>
                <w:sz w:val="28"/>
                <w:szCs w:val="36"/>
              </w:rPr>
            </w:pPr>
            <w:r>
              <w:rPr>
                <w:rFonts w:hint="eastAsia" w:ascii="宋体" w:hAnsi="宋体" w:cs="宋体"/>
                <w:sz w:val="28"/>
                <w:szCs w:val="36"/>
              </w:rPr>
              <w:t>编制时间：2023年</w:t>
            </w:r>
            <w:r>
              <w:rPr>
                <w:rFonts w:hint="eastAsia" w:ascii="宋体" w:hAnsi="宋体" w:cs="宋体"/>
                <w:sz w:val="28"/>
                <w:szCs w:val="36"/>
                <w:lang w:val="en-US" w:eastAsia="zh-CN"/>
              </w:rPr>
              <w:t>4</w:t>
            </w:r>
            <w:r>
              <w:rPr>
                <w:rFonts w:hint="eastAsia" w:ascii="宋体" w:hAnsi="宋体" w:cs="宋体"/>
                <w:sz w:val="28"/>
                <w:szCs w:val="36"/>
              </w:rPr>
              <w:t>月</w:t>
            </w:r>
          </w:p>
        </w:tc>
      </w:tr>
    </w:tbl>
    <w:p>
      <w:pPr>
        <w:pStyle w:val="10"/>
        <w:jc w:val="center"/>
        <w:rPr>
          <w:b/>
          <w:sz w:val="21"/>
          <w:szCs w:val="36"/>
        </w:rPr>
      </w:pPr>
    </w:p>
    <w:p>
      <w:pPr>
        <w:pStyle w:val="10"/>
        <w:spacing w:line="360" w:lineRule="auto"/>
      </w:pPr>
      <w:r>
        <w:rPr>
          <w:rFonts w:hint="eastAsia"/>
        </w:rPr>
        <w:t xml:space="preserve">   </w:t>
      </w:r>
    </w:p>
    <w:p>
      <w:pPr>
        <w:pStyle w:val="10"/>
        <w:spacing w:line="360" w:lineRule="auto"/>
      </w:pPr>
    </w:p>
    <w:p>
      <w:pPr>
        <w:pStyle w:val="10"/>
        <w:spacing w:line="360" w:lineRule="auto"/>
        <w:sectPr>
          <w:headerReference r:id="rId3" w:type="default"/>
          <w:footerReference r:id="rId4" w:type="default"/>
          <w:pgSz w:w="11907" w:h="16840"/>
          <w:pgMar w:top="1021" w:right="1247" w:bottom="1134" w:left="1644" w:header="907" w:footer="907" w:gutter="0"/>
          <w:pgNumType w:start="1"/>
          <w:cols w:space="720" w:num="1"/>
          <w:titlePg/>
          <w:docGrid w:linePitch="312" w:charSpace="0"/>
        </w:sectPr>
      </w:pPr>
    </w:p>
    <w:p>
      <w:pPr>
        <w:pStyle w:val="3"/>
      </w:pPr>
      <w:bookmarkStart w:id="0" w:name="_Toc28925"/>
      <w:bookmarkStart w:id="1" w:name="_Toc136229088"/>
      <w:bookmarkStart w:id="2" w:name="_Toc535815709"/>
      <w:bookmarkStart w:id="3" w:name="_Toc535814464"/>
      <w:bookmarkStart w:id="4" w:name="_Toc120411791"/>
    </w:p>
    <w:p>
      <w:pPr>
        <w:pStyle w:val="3"/>
      </w:pPr>
      <w:r>
        <w:t xml:space="preserve">第一章  </w:t>
      </w:r>
      <w:r>
        <w:rPr>
          <w:rFonts w:hint="eastAsia"/>
        </w:rPr>
        <w:t>谈判公告（代采购</w:t>
      </w:r>
      <w:r>
        <w:t>邀请</w:t>
      </w:r>
      <w:r>
        <w:rPr>
          <w:rFonts w:hint="eastAsia"/>
        </w:rPr>
        <w:t>）</w:t>
      </w:r>
      <w:bookmarkEnd w:id="0"/>
      <w:bookmarkEnd w:id="1"/>
      <w:bookmarkEnd w:id="2"/>
      <w:bookmarkEnd w:id="3"/>
      <w:bookmarkEnd w:id="4"/>
    </w:p>
    <w:p>
      <w:pPr>
        <w:spacing w:line="520" w:lineRule="exact"/>
      </w:pPr>
    </w:p>
    <w:p>
      <w:pPr>
        <w:spacing w:line="500" w:lineRule="exact"/>
        <w:ind w:firstLine="480" w:firstLineChars="200"/>
        <w:rPr>
          <w:rFonts w:ascii="宋体" w:hAnsi="宋体"/>
          <w:sz w:val="24"/>
        </w:rPr>
      </w:pPr>
      <w:r>
        <w:rPr>
          <w:rFonts w:hint="eastAsia" w:ascii="宋体" w:hAnsi="宋体"/>
          <w:sz w:val="24"/>
        </w:rPr>
        <w:t>黄石市中心医院拟对</w:t>
      </w:r>
      <w:r>
        <w:rPr>
          <w:rFonts w:hint="eastAsia" w:ascii="宋体" w:hAnsi="宋体"/>
          <w:sz w:val="24"/>
          <w:lang w:val="en-US" w:eastAsia="zh-CN"/>
        </w:rPr>
        <w:t>黄石市中心医院6号楼无线网络维护项目</w:t>
      </w:r>
      <w:r>
        <w:rPr>
          <w:rFonts w:hint="eastAsia" w:ascii="宋体" w:hAnsi="宋体"/>
          <w:sz w:val="24"/>
        </w:rPr>
        <w:t>以竞争性谈判采购，欢迎符合资格条件的潜在供应商参与谈判。</w:t>
      </w:r>
    </w:p>
    <w:p>
      <w:pPr>
        <w:spacing w:line="500" w:lineRule="exact"/>
        <w:ind w:firstLine="480" w:firstLineChars="200"/>
        <w:rPr>
          <w:rFonts w:ascii="宋体" w:hAnsi="宋体"/>
          <w:sz w:val="24"/>
        </w:rPr>
      </w:pPr>
      <w:r>
        <w:rPr>
          <w:rFonts w:hint="eastAsia" w:ascii="宋体" w:hAnsi="宋体"/>
          <w:sz w:val="24"/>
        </w:rPr>
        <w:t>一、项目基本情况</w:t>
      </w:r>
    </w:p>
    <w:p>
      <w:pPr>
        <w:spacing w:line="500" w:lineRule="exact"/>
        <w:ind w:firstLine="480" w:firstLineChars="200"/>
        <w:rPr>
          <w:rFonts w:hint="default" w:ascii="宋体" w:hAnsi="宋体"/>
          <w:sz w:val="24"/>
          <w:lang w:val="en-US"/>
        </w:rPr>
      </w:pPr>
      <w:r>
        <w:rPr>
          <w:rFonts w:hint="eastAsia" w:ascii="宋体" w:hAnsi="宋体"/>
          <w:sz w:val="24"/>
        </w:rPr>
        <w:t>1、项目名称：</w:t>
      </w:r>
      <w:r>
        <w:rPr>
          <w:rFonts w:hint="eastAsia" w:ascii="宋体" w:hAnsi="宋体"/>
          <w:sz w:val="24"/>
          <w:lang w:val="en-US" w:eastAsia="zh-CN"/>
        </w:rPr>
        <w:t>黄石市中心医院6号楼无线网络维护项目</w:t>
      </w:r>
    </w:p>
    <w:p>
      <w:pPr>
        <w:spacing w:line="500" w:lineRule="exact"/>
        <w:ind w:firstLine="480" w:firstLineChars="200"/>
        <w:rPr>
          <w:rFonts w:ascii="宋体" w:hAnsi="宋体"/>
          <w:sz w:val="24"/>
        </w:rPr>
      </w:pPr>
      <w:r>
        <w:rPr>
          <w:rFonts w:hint="eastAsia" w:ascii="宋体" w:hAnsi="宋体"/>
          <w:sz w:val="24"/>
        </w:rPr>
        <w:t>2、采购方式：竞争性谈判</w:t>
      </w:r>
    </w:p>
    <w:p>
      <w:pPr>
        <w:spacing w:line="500" w:lineRule="exact"/>
        <w:ind w:firstLine="480" w:firstLineChars="200"/>
        <w:rPr>
          <w:rFonts w:hint="default" w:ascii="宋体" w:hAnsi="宋体"/>
          <w:sz w:val="24"/>
          <w:lang w:val="en-US" w:eastAsia="zh-CN"/>
        </w:rPr>
      </w:pPr>
      <w:r>
        <w:rPr>
          <w:rFonts w:hint="eastAsia" w:ascii="宋体" w:hAnsi="宋体"/>
          <w:sz w:val="24"/>
        </w:rPr>
        <w:t>3、最高限价：</w:t>
      </w:r>
      <w:r>
        <w:rPr>
          <w:rFonts w:hint="eastAsia" w:ascii="宋体" w:hAnsi="宋体"/>
          <w:sz w:val="24"/>
          <w:lang w:val="en-US" w:eastAsia="zh-CN"/>
        </w:rPr>
        <w:t>5万元</w:t>
      </w:r>
    </w:p>
    <w:p>
      <w:pPr>
        <w:spacing w:line="500" w:lineRule="exact"/>
        <w:ind w:firstLine="480" w:firstLineChars="200"/>
        <w:rPr>
          <w:rFonts w:hint="eastAsia" w:ascii="宋体" w:hAnsi="宋体"/>
          <w:sz w:val="24"/>
        </w:rPr>
      </w:pPr>
      <w:r>
        <w:rPr>
          <w:rFonts w:hint="eastAsia" w:ascii="宋体" w:hAnsi="宋体"/>
          <w:sz w:val="24"/>
        </w:rPr>
        <w:t>4、采购需求：</w:t>
      </w:r>
      <w:r>
        <w:rPr>
          <w:rFonts w:hint="eastAsia" w:ascii="宋体" w:hAnsi="宋体"/>
          <w:sz w:val="24"/>
          <w:lang w:val="en-US" w:eastAsia="zh-CN"/>
        </w:rPr>
        <w:t>无线网络维护项目</w:t>
      </w:r>
      <w:r>
        <w:rPr>
          <w:rFonts w:hint="eastAsia" w:ascii="宋体" w:hAnsi="宋体"/>
          <w:sz w:val="24"/>
        </w:rPr>
        <w:t>。</w:t>
      </w:r>
    </w:p>
    <w:p>
      <w:pPr>
        <w:spacing w:line="500" w:lineRule="exact"/>
        <w:ind w:firstLine="480" w:firstLineChars="200"/>
        <w:rPr>
          <w:rFonts w:hint="eastAsia" w:ascii="宋体" w:hAnsi="宋体"/>
          <w:sz w:val="24"/>
        </w:rPr>
      </w:pPr>
      <w:r>
        <w:rPr>
          <w:rFonts w:hint="eastAsia" w:ascii="宋体" w:hAnsi="宋体"/>
          <w:sz w:val="24"/>
        </w:rPr>
        <w:t>5、本项目不接受联合体响应</w:t>
      </w:r>
    </w:p>
    <w:p>
      <w:pPr>
        <w:spacing w:line="500" w:lineRule="exact"/>
        <w:ind w:firstLine="480" w:firstLineChars="200"/>
        <w:rPr>
          <w:rFonts w:ascii="宋体" w:hAnsi="宋体"/>
          <w:sz w:val="24"/>
        </w:rPr>
      </w:pPr>
      <w:r>
        <w:rPr>
          <w:rFonts w:hint="eastAsia" w:ascii="宋体" w:hAnsi="宋体"/>
          <w:sz w:val="24"/>
        </w:rPr>
        <w:t>二、申请人的资格要求</w:t>
      </w:r>
    </w:p>
    <w:p>
      <w:pPr>
        <w:spacing w:line="500" w:lineRule="exact"/>
        <w:ind w:firstLine="480" w:firstLineChars="200"/>
        <w:rPr>
          <w:rFonts w:ascii="宋体" w:hAnsi="宋体"/>
          <w:sz w:val="24"/>
        </w:rPr>
      </w:pPr>
      <w:r>
        <w:rPr>
          <w:rFonts w:hint="eastAsia" w:ascii="宋体" w:hAnsi="宋体"/>
          <w:sz w:val="24"/>
        </w:rPr>
        <w:t>1、满足《中华人民共和国政府采购法》第二十二条规定，即：</w:t>
      </w:r>
    </w:p>
    <w:p>
      <w:pPr>
        <w:spacing w:line="500" w:lineRule="exact"/>
        <w:ind w:firstLine="480" w:firstLineChars="200"/>
        <w:rPr>
          <w:rFonts w:ascii="宋体" w:hAnsi="宋体"/>
          <w:sz w:val="24"/>
        </w:rPr>
      </w:pPr>
      <w:r>
        <w:rPr>
          <w:rFonts w:hint="eastAsia" w:ascii="宋体" w:hAnsi="宋体"/>
          <w:sz w:val="24"/>
        </w:rPr>
        <w:t>（1）具有独立承担民事责任的能力；</w:t>
      </w:r>
    </w:p>
    <w:p>
      <w:pPr>
        <w:spacing w:line="500" w:lineRule="exact"/>
        <w:ind w:firstLine="480" w:firstLineChars="200"/>
        <w:rPr>
          <w:rFonts w:ascii="宋体" w:hAnsi="宋体"/>
          <w:sz w:val="24"/>
        </w:rPr>
      </w:pPr>
      <w:r>
        <w:rPr>
          <w:rFonts w:hint="eastAsia" w:ascii="宋体" w:hAnsi="宋体"/>
          <w:sz w:val="24"/>
        </w:rPr>
        <w:t>（2）具有良好的商业信誉和健全的财务会计制度；</w:t>
      </w:r>
    </w:p>
    <w:p>
      <w:pPr>
        <w:spacing w:line="500" w:lineRule="exact"/>
        <w:ind w:firstLine="480" w:firstLineChars="200"/>
        <w:rPr>
          <w:rFonts w:ascii="宋体" w:hAnsi="宋体"/>
          <w:sz w:val="24"/>
        </w:rPr>
      </w:pPr>
      <w:r>
        <w:rPr>
          <w:rFonts w:hint="eastAsia" w:ascii="宋体" w:hAnsi="宋体"/>
          <w:sz w:val="24"/>
        </w:rPr>
        <w:t>（3）具有履行合同所必需的设备和专业技术能力；</w:t>
      </w:r>
    </w:p>
    <w:p>
      <w:pPr>
        <w:spacing w:line="500" w:lineRule="exact"/>
        <w:ind w:firstLine="480" w:firstLineChars="200"/>
        <w:rPr>
          <w:rFonts w:ascii="宋体" w:hAnsi="宋体"/>
          <w:sz w:val="24"/>
        </w:rPr>
      </w:pPr>
      <w:r>
        <w:rPr>
          <w:rFonts w:hint="eastAsia" w:ascii="宋体" w:hAnsi="宋体"/>
          <w:sz w:val="24"/>
        </w:rPr>
        <w:t>（4）有依法缴纳税收和社会保障资金的良好记录；</w:t>
      </w:r>
    </w:p>
    <w:p>
      <w:pPr>
        <w:spacing w:line="500" w:lineRule="exact"/>
        <w:ind w:firstLine="480" w:firstLineChars="200"/>
        <w:rPr>
          <w:rFonts w:ascii="宋体" w:hAnsi="宋体"/>
          <w:sz w:val="24"/>
        </w:rPr>
      </w:pPr>
      <w:r>
        <w:rPr>
          <w:rFonts w:hint="eastAsia" w:ascii="宋体" w:hAnsi="宋体"/>
          <w:sz w:val="24"/>
        </w:rPr>
        <w:t>（5）参加政府采购活动前三年内，在经营活动中没有重大违法记录；</w:t>
      </w:r>
    </w:p>
    <w:p>
      <w:pPr>
        <w:spacing w:line="500" w:lineRule="exact"/>
        <w:ind w:firstLine="480" w:firstLineChars="200"/>
        <w:rPr>
          <w:rFonts w:ascii="宋体" w:hAnsi="宋体"/>
          <w:sz w:val="24"/>
        </w:rPr>
      </w:pPr>
      <w:r>
        <w:rPr>
          <w:rFonts w:hint="eastAsia" w:ascii="宋体" w:hAnsi="宋体"/>
          <w:sz w:val="24"/>
        </w:rPr>
        <w:t>（6）法律、行政法规规定的其他条件。</w:t>
      </w:r>
    </w:p>
    <w:p>
      <w:pPr>
        <w:spacing w:line="500" w:lineRule="exact"/>
        <w:ind w:firstLine="480" w:firstLineChars="200"/>
        <w:rPr>
          <w:rFonts w:ascii="宋体" w:hAnsi="宋体"/>
          <w:sz w:val="24"/>
        </w:rPr>
      </w:pPr>
      <w:r>
        <w:rPr>
          <w:rFonts w:hint="eastAsia" w:ascii="宋体" w:hAnsi="宋体"/>
          <w:sz w:val="24"/>
        </w:rPr>
        <w:t>2、未被列入失信被执行人、重大税收违法案件当事人名单，未被列入政府采购严重违法失信行为记录名单。</w:t>
      </w:r>
    </w:p>
    <w:p>
      <w:pPr>
        <w:spacing w:line="500" w:lineRule="exact"/>
        <w:ind w:firstLine="480" w:firstLineChars="200"/>
        <w:rPr>
          <w:rFonts w:ascii="宋体" w:hAnsi="宋体"/>
          <w:sz w:val="24"/>
        </w:rPr>
      </w:pPr>
      <w:r>
        <w:rPr>
          <w:rFonts w:hint="eastAsia" w:ascii="宋体" w:hAnsi="宋体"/>
          <w:sz w:val="24"/>
        </w:rPr>
        <w:t>四、报名时间</w:t>
      </w:r>
    </w:p>
    <w:p>
      <w:pPr>
        <w:widowControl/>
        <w:spacing w:line="360" w:lineRule="auto"/>
        <w:ind w:left="420"/>
        <w:jc w:val="left"/>
        <w:rPr>
          <w:rFonts w:ascii="宋体" w:hAnsi="宋体" w:cs="宋体"/>
          <w:kern w:val="0"/>
          <w:sz w:val="24"/>
        </w:rPr>
      </w:pPr>
      <w:r>
        <w:rPr>
          <w:rFonts w:hint="eastAsia" w:ascii="宋体" w:hAnsi="宋体" w:cs="宋体"/>
          <w:kern w:val="0"/>
          <w:sz w:val="24"/>
        </w:rPr>
        <w:t>（一）送达地点：黄石市天津路141号黄石市中心医院8号楼819室</w:t>
      </w:r>
    </w:p>
    <w:p>
      <w:pPr>
        <w:widowControl/>
        <w:spacing w:line="360" w:lineRule="auto"/>
        <w:ind w:left="420"/>
        <w:jc w:val="left"/>
        <w:rPr>
          <w:rFonts w:ascii="宋体" w:hAnsi="宋体" w:cs="宋体"/>
          <w:sz w:val="24"/>
        </w:rPr>
      </w:pPr>
      <w:r>
        <w:rPr>
          <w:rFonts w:hint="eastAsia" w:ascii="宋体" w:hAnsi="宋体" w:cs="宋体"/>
          <w:kern w:val="0"/>
          <w:sz w:val="24"/>
        </w:rPr>
        <w:t>（二）截止时间：</w:t>
      </w:r>
      <w:r>
        <w:rPr>
          <w:rFonts w:hint="eastAsia" w:ascii="宋体" w:hAnsi="宋体" w:cs="宋体"/>
          <w:color w:val="FF0000"/>
          <w:kern w:val="0"/>
          <w:sz w:val="24"/>
        </w:rPr>
        <w:t xml:space="preserve">2023年 </w:t>
      </w:r>
      <w:r>
        <w:rPr>
          <w:rFonts w:hint="eastAsia" w:ascii="宋体" w:hAnsi="宋体" w:cs="宋体"/>
          <w:color w:val="FF0000"/>
          <w:kern w:val="0"/>
          <w:sz w:val="24"/>
          <w:lang w:val="en-US" w:eastAsia="zh-CN"/>
        </w:rPr>
        <w:t>5</w:t>
      </w:r>
      <w:r>
        <w:rPr>
          <w:rFonts w:hint="eastAsia" w:ascii="宋体" w:hAnsi="宋体" w:cs="宋体"/>
          <w:color w:val="FF0000"/>
          <w:kern w:val="0"/>
          <w:sz w:val="24"/>
        </w:rPr>
        <w:t xml:space="preserve"> 月  </w:t>
      </w:r>
      <w:r>
        <w:rPr>
          <w:rFonts w:hint="eastAsia" w:ascii="宋体" w:hAnsi="宋体" w:cs="宋体"/>
          <w:color w:val="FF0000"/>
          <w:kern w:val="0"/>
          <w:sz w:val="24"/>
          <w:lang w:val="en-US" w:eastAsia="zh-CN"/>
        </w:rPr>
        <w:t>6</w:t>
      </w:r>
      <w:r>
        <w:rPr>
          <w:rFonts w:hint="eastAsia" w:ascii="宋体" w:hAnsi="宋体" w:cs="宋体"/>
          <w:color w:val="FF0000"/>
          <w:kern w:val="0"/>
          <w:sz w:val="24"/>
        </w:rPr>
        <w:t xml:space="preserve"> 日上午 时 分（北京时间）</w:t>
      </w:r>
    </w:p>
    <w:p>
      <w:pPr>
        <w:widowControl/>
        <w:spacing w:line="360" w:lineRule="auto"/>
        <w:ind w:firstLine="482"/>
        <w:jc w:val="left"/>
        <w:rPr>
          <w:rFonts w:ascii="宋体" w:hAnsi="宋体" w:cs="宋体"/>
          <w:sz w:val="24"/>
        </w:rPr>
      </w:pPr>
      <w:r>
        <w:rPr>
          <w:rFonts w:hint="eastAsia" w:ascii="宋体" w:hAnsi="宋体" w:cs="宋体"/>
          <w:b/>
          <w:kern w:val="0"/>
          <w:sz w:val="24"/>
        </w:rPr>
        <w:t>五、谈判地点及时间：另行通知</w:t>
      </w:r>
    </w:p>
    <w:p>
      <w:pPr>
        <w:widowControl/>
        <w:spacing w:line="360" w:lineRule="auto"/>
        <w:ind w:firstLine="482"/>
        <w:jc w:val="left"/>
        <w:rPr>
          <w:rFonts w:ascii="宋体" w:hAnsi="宋体" w:cs="宋体"/>
          <w:sz w:val="24"/>
        </w:rPr>
      </w:pPr>
      <w:r>
        <w:rPr>
          <w:rFonts w:hint="eastAsia" w:ascii="宋体" w:hAnsi="宋体" w:cs="宋体"/>
          <w:b/>
          <w:kern w:val="0"/>
          <w:sz w:val="24"/>
        </w:rPr>
        <w:t>六、联系事项</w:t>
      </w:r>
    </w:p>
    <w:p>
      <w:pPr>
        <w:widowControl/>
        <w:spacing w:line="360" w:lineRule="auto"/>
        <w:ind w:firstLine="482"/>
        <w:jc w:val="left"/>
        <w:rPr>
          <w:rFonts w:ascii="宋体" w:hAnsi="宋体" w:cs="宋体"/>
          <w:bCs/>
          <w:kern w:val="0"/>
          <w:sz w:val="24"/>
        </w:rPr>
      </w:pPr>
      <w:r>
        <w:rPr>
          <w:rFonts w:hint="eastAsia" w:ascii="宋体" w:hAnsi="宋体" w:cs="宋体"/>
          <w:bCs/>
          <w:kern w:val="0"/>
          <w:sz w:val="24"/>
        </w:rPr>
        <w:t>采购人联系方式：</w:t>
      </w:r>
    </w:p>
    <w:p>
      <w:pPr>
        <w:widowControl/>
        <w:spacing w:line="360" w:lineRule="auto"/>
        <w:ind w:firstLine="482"/>
        <w:jc w:val="left"/>
        <w:rPr>
          <w:rFonts w:ascii="宋体" w:hAnsi="宋体" w:cs="宋体"/>
          <w:bCs/>
          <w:kern w:val="0"/>
          <w:sz w:val="24"/>
        </w:rPr>
      </w:pPr>
      <w:r>
        <w:rPr>
          <w:rFonts w:hint="eastAsia" w:ascii="宋体" w:hAnsi="宋体" w:cs="宋体"/>
          <w:bCs/>
          <w:kern w:val="0"/>
          <w:sz w:val="24"/>
        </w:rPr>
        <w:t>名 称：</w:t>
      </w:r>
      <w:r>
        <w:rPr>
          <w:rFonts w:hint="eastAsia" w:ascii="宋体" w:hAnsi="宋体" w:cs="宋体"/>
          <w:bCs/>
          <w:kern w:val="0"/>
          <w:sz w:val="24"/>
          <w:lang w:val="zh-CN"/>
        </w:rPr>
        <w:t>黄石市中心医院</w:t>
      </w:r>
    </w:p>
    <w:p>
      <w:pPr>
        <w:widowControl/>
        <w:spacing w:line="360" w:lineRule="auto"/>
        <w:ind w:firstLine="482"/>
        <w:jc w:val="left"/>
        <w:rPr>
          <w:rFonts w:ascii="宋体" w:hAnsi="宋体" w:cs="宋体"/>
          <w:bCs/>
          <w:kern w:val="0"/>
          <w:sz w:val="24"/>
        </w:rPr>
      </w:pPr>
      <w:r>
        <w:rPr>
          <w:rFonts w:hint="eastAsia" w:ascii="宋体" w:hAnsi="宋体" w:cs="宋体"/>
          <w:bCs/>
          <w:kern w:val="0"/>
          <w:sz w:val="24"/>
        </w:rPr>
        <w:t>地 址：</w:t>
      </w:r>
      <w:r>
        <w:rPr>
          <w:rFonts w:hint="eastAsia" w:ascii="宋体" w:hAnsi="宋体" w:cs="宋体"/>
          <w:bCs/>
          <w:kern w:val="0"/>
          <w:sz w:val="24"/>
          <w:lang w:val="zh-CN"/>
        </w:rPr>
        <w:t>黄石市黄石港区天津路141号</w:t>
      </w:r>
    </w:p>
    <w:p>
      <w:pPr>
        <w:widowControl/>
        <w:spacing w:line="360" w:lineRule="auto"/>
        <w:ind w:firstLine="482"/>
        <w:jc w:val="left"/>
        <w:rPr>
          <w:rFonts w:ascii="宋体" w:hAnsi="宋体" w:cs="宋体"/>
          <w:bCs/>
          <w:kern w:val="0"/>
          <w:sz w:val="24"/>
        </w:rPr>
      </w:pPr>
      <w:r>
        <w:rPr>
          <w:rFonts w:hint="eastAsia" w:ascii="宋体" w:hAnsi="宋体" w:cs="宋体"/>
          <w:bCs/>
          <w:kern w:val="0"/>
          <w:sz w:val="24"/>
        </w:rPr>
        <w:t>联 系 人：邵奇</w:t>
      </w:r>
    </w:p>
    <w:p>
      <w:pPr>
        <w:widowControl/>
        <w:spacing w:line="360" w:lineRule="auto"/>
        <w:ind w:firstLine="482"/>
        <w:jc w:val="left"/>
        <w:rPr>
          <w:rFonts w:ascii="宋体" w:hAnsi="宋体" w:cs="宋体"/>
          <w:bCs/>
          <w:kern w:val="0"/>
          <w:sz w:val="24"/>
        </w:rPr>
      </w:pPr>
      <w:r>
        <w:rPr>
          <w:rFonts w:hint="eastAsia" w:ascii="宋体" w:hAnsi="宋体" w:cs="宋体"/>
          <w:bCs/>
          <w:kern w:val="0"/>
          <w:sz w:val="24"/>
        </w:rPr>
        <w:t>电 话：0714-6256679</w:t>
      </w:r>
    </w:p>
    <w:p>
      <w:pPr>
        <w:widowControl/>
        <w:spacing w:line="360" w:lineRule="auto"/>
        <w:ind w:firstLine="482"/>
        <w:jc w:val="left"/>
        <w:rPr>
          <w:rFonts w:ascii="宋体" w:hAnsi="宋体" w:cs="宋体"/>
          <w:sz w:val="24"/>
        </w:rPr>
      </w:pPr>
      <w:r>
        <w:rPr>
          <w:rFonts w:hint="eastAsia" w:ascii="宋体" w:hAnsi="宋体" w:cs="宋体"/>
          <w:b/>
          <w:kern w:val="0"/>
          <w:sz w:val="24"/>
        </w:rPr>
        <w:t>七、信息发布媒体</w:t>
      </w:r>
    </w:p>
    <w:p>
      <w:pPr>
        <w:pStyle w:val="7"/>
        <w:ind w:firstLine="480" w:firstLineChars="200"/>
        <w:rPr>
          <w:rFonts w:ascii="宋体" w:hAnsi="宋体" w:cs="宋体"/>
          <w:kern w:val="0"/>
        </w:rPr>
      </w:pPr>
      <w:r>
        <w:rPr>
          <w:rFonts w:hint="eastAsia" w:ascii="宋体" w:hAnsi="宋体" w:cs="宋体"/>
          <w:kern w:val="0"/>
          <w:lang w:val="zh-CN"/>
        </w:rPr>
        <w:t>黄石市中心医院</w:t>
      </w:r>
      <w:r>
        <w:rPr>
          <w:rFonts w:hint="eastAsia" w:ascii="宋体" w:hAnsi="宋体" w:cs="宋体"/>
          <w:kern w:val="0"/>
        </w:rPr>
        <w:t>官网（http://www.edonghealthcare.com/）</w:t>
      </w:r>
    </w:p>
    <w:p>
      <w:pPr>
        <w:pStyle w:val="7"/>
        <w:ind w:firstLine="480" w:firstLineChars="200"/>
        <w:rPr>
          <w:rFonts w:ascii="宋体" w:hAnsi="宋体" w:cs="宋体"/>
          <w:kern w:val="0"/>
        </w:rPr>
      </w:pPr>
    </w:p>
    <w:p>
      <w:pPr>
        <w:pStyle w:val="7"/>
        <w:ind w:firstLine="480" w:firstLineChars="200"/>
        <w:rPr>
          <w:rFonts w:ascii="宋体" w:hAnsi="宋体" w:cs="宋体"/>
          <w:kern w:val="0"/>
        </w:rPr>
      </w:pPr>
    </w:p>
    <w:p>
      <w:pPr>
        <w:widowControl/>
        <w:spacing w:line="360" w:lineRule="auto"/>
        <w:jc w:val="right"/>
        <w:rPr>
          <w:rFonts w:ascii="宋体" w:hAnsi="宋体" w:cs="宋体"/>
          <w:sz w:val="24"/>
        </w:rPr>
      </w:pPr>
      <w:r>
        <w:rPr>
          <w:rFonts w:hint="eastAsia" w:ascii="宋体" w:hAnsi="宋体" w:cs="宋体"/>
          <w:kern w:val="0"/>
          <w:sz w:val="24"/>
          <w:lang w:val="zh-CN"/>
        </w:rPr>
        <w:t>黄石市中心医院</w:t>
      </w:r>
    </w:p>
    <w:p>
      <w:pPr>
        <w:widowControl/>
        <w:spacing w:line="360" w:lineRule="auto"/>
        <w:jc w:val="center"/>
        <w:rPr>
          <w:rFonts w:ascii="宋体" w:hAnsi="宋体" w:cs="宋体"/>
          <w:b/>
          <w:bCs/>
          <w:kern w:val="0"/>
          <w:sz w:val="32"/>
          <w:szCs w:val="32"/>
        </w:rPr>
      </w:pPr>
      <w:r>
        <w:rPr>
          <w:rFonts w:hint="eastAsia" w:ascii="宋体" w:hAnsi="宋体" w:cs="宋体"/>
          <w:kern w:val="0"/>
          <w:sz w:val="24"/>
        </w:rPr>
        <w:t xml:space="preserve">                                                     2023 年</w:t>
      </w:r>
      <w:r>
        <w:rPr>
          <w:rFonts w:hint="eastAsia" w:ascii="宋体" w:hAnsi="宋体" w:cs="宋体"/>
          <w:kern w:val="0"/>
          <w:sz w:val="24"/>
          <w:lang w:val="en-US" w:eastAsia="zh-CN"/>
        </w:rPr>
        <w:t>4</w:t>
      </w:r>
      <w:r>
        <w:rPr>
          <w:rFonts w:hint="eastAsia" w:ascii="宋体" w:hAnsi="宋体" w:cs="宋体"/>
          <w:kern w:val="0"/>
          <w:sz w:val="24"/>
        </w:rPr>
        <w:t xml:space="preserve">  月</w:t>
      </w:r>
      <w:bookmarkStart w:id="5" w:name="_Toc120411792"/>
      <w:bookmarkStart w:id="6" w:name="_Toc136229089"/>
      <w:r>
        <w:rPr>
          <w:rFonts w:hint="eastAsia" w:ascii="宋体" w:hAnsi="宋体" w:cs="宋体"/>
          <w:kern w:val="0"/>
          <w:sz w:val="24"/>
        </w:rPr>
        <w:t xml:space="preserve"> </w:t>
      </w:r>
      <w:r>
        <w:rPr>
          <w:rFonts w:hint="eastAsia" w:ascii="宋体" w:hAnsi="宋体" w:cs="宋体"/>
          <w:kern w:val="0"/>
          <w:sz w:val="24"/>
          <w:lang w:val="en-US" w:eastAsia="zh-CN"/>
        </w:rPr>
        <w:t>27</w:t>
      </w:r>
      <w:bookmarkStart w:id="67" w:name="_GoBack"/>
      <w:bookmarkEnd w:id="67"/>
      <w:r>
        <w:rPr>
          <w:rFonts w:hint="eastAsia" w:ascii="宋体" w:hAnsi="宋体" w:cs="宋体"/>
          <w:kern w:val="0"/>
          <w:sz w:val="24"/>
        </w:rPr>
        <w:t xml:space="preserve"> 日</w:t>
      </w:r>
      <w:r>
        <w:br w:type="page"/>
      </w:r>
      <w:bookmarkStart w:id="7" w:name="_Toc10386"/>
      <w:r>
        <w:rPr>
          <w:b/>
          <w:bCs/>
          <w:sz w:val="32"/>
          <w:szCs w:val="32"/>
        </w:rPr>
        <w:t>第二章  供应商须知</w:t>
      </w:r>
      <w:bookmarkEnd w:id="5"/>
      <w:bookmarkEnd w:id="6"/>
      <w:bookmarkEnd w:id="7"/>
    </w:p>
    <w:p>
      <w:pPr>
        <w:pStyle w:val="4"/>
      </w:pPr>
      <w:bookmarkStart w:id="8" w:name="_Toc8390"/>
      <w:r>
        <w:rPr>
          <w:rFonts w:hint="eastAsia"/>
        </w:rPr>
        <w:t>供应商须知前附表</w:t>
      </w:r>
      <w:bookmarkEnd w:id="8"/>
    </w:p>
    <w:p>
      <w:pPr>
        <w:pStyle w:val="7"/>
        <w:spacing w:line="318" w:lineRule="auto"/>
        <w:ind w:right="85" w:firstLine="480" w:firstLineChars="200"/>
      </w:pPr>
      <w:r>
        <w:rPr>
          <w:rFonts w:hint="eastAsia"/>
        </w:rPr>
        <w:t>供应商</w:t>
      </w:r>
      <w:r>
        <w:t>应</w:t>
      </w:r>
      <w:r>
        <w:rPr>
          <w:spacing w:val="-3"/>
        </w:rPr>
        <w:t>仔</w:t>
      </w:r>
      <w:r>
        <w:t>细</w:t>
      </w:r>
      <w:r>
        <w:rPr>
          <w:spacing w:val="-3"/>
        </w:rPr>
        <w:t>阅</w:t>
      </w:r>
      <w:r>
        <w:t>读</w:t>
      </w:r>
      <w:r>
        <w:rPr>
          <w:spacing w:val="-3"/>
        </w:rPr>
        <w:t>本</w:t>
      </w:r>
      <w:r>
        <w:t>谈判文件</w:t>
      </w:r>
      <w:r>
        <w:rPr>
          <w:spacing w:val="-3"/>
        </w:rPr>
        <w:t>的</w:t>
      </w:r>
      <w:r>
        <w:t>第</w:t>
      </w:r>
      <w:r>
        <w:rPr>
          <w:spacing w:val="-3"/>
        </w:rPr>
        <w:t>二</w:t>
      </w:r>
      <w:r>
        <w:t>章</w:t>
      </w:r>
      <w:r>
        <w:rPr>
          <w:spacing w:val="-3"/>
        </w:rPr>
        <w:t>“</w:t>
      </w:r>
      <w:r>
        <w:rPr>
          <w:rFonts w:hint="eastAsia"/>
        </w:rPr>
        <w:t>供应商</w:t>
      </w:r>
      <w:r>
        <w:rPr>
          <w:spacing w:val="-3"/>
        </w:rPr>
        <w:t>须</w:t>
      </w:r>
      <w:r>
        <w:t>知</w:t>
      </w:r>
      <w:r>
        <w:rPr>
          <w:spacing w:val="-3"/>
        </w:rPr>
        <w:t>”</w:t>
      </w:r>
      <w:r>
        <w:rPr>
          <w:spacing w:val="-89"/>
        </w:rPr>
        <w:t>，</w:t>
      </w:r>
      <w:r>
        <w:rPr>
          <w:spacing w:val="-3"/>
        </w:rPr>
        <w:t>下</w:t>
      </w:r>
      <w:r>
        <w:t>面</w:t>
      </w:r>
      <w:r>
        <w:rPr>
          <w:spacing w:val="-3"/>
        </w:rPr>
        <w:t>所</w:t>
      </w:r>
      <w:r>
        <w:t>列</w:t>
      </w:r>
      <w:r>
        <w:rPr>
          <w:spacing w:val="-3"/>
        </w:rPr>
        <w:t>资</w:t>
      </w:r>
      <w:r>
        <w:t>料</w:t>
      </w:r>
      <w:r>
        <w:rPr>
          <w:spacing w:val="-3"/>
        </w:rPr>
        <w:t>是</w:t>
      </w:r>
      <w:r>
        <w:t>对</w:t>
      </w:r>
      <w:r>
        <w:rPr>
          <w:spacing w:val="-3"/>
        </w:rPr>
        <w:t>“</w:t>
      </w:r>
      <w:r>
        <w:rPr>
          <w:rFonts w:hint="eastAsia"/>
        </w:rPr>
        <w:t>供应商</w:t>
      </w:r>
      <w:r>
        <w:t>须</w:t>
      </w:r>
      <w:r>
        <w:rPr>
          <w:spacing w:val="-3"/>
        </w:rPr>
        <w:t>知</w:t>
      </w:r>
      <w:r>
        <w:t>” 的具</w:t>
      </w:r>
      <w:r>
        <w:rPr>
          <w:spacing w:val="-3"/>
        </w:rPr>
        <w:t>体</w:t>
      </w:r>
      <w:r>
        <w:t>补</w:t>
      </w:r>
      <w:r>
        <w:rPr>
          <w:spacing w:val="-3"/>
        </w:rPr>
        <w:t>充</w:t>
      </w:r>
      <w:r>
        <w:t>和</w:t>
      </w:r>
      <w:r>
        <w:rPr>
          <w:spacing w:val="-3"/>
        </w:rPr>
        <w:t>说</w:t>
      </w:r>
      <w:r>
        <w:t>明</w:t>
      </w:r>
      <w:r>
        <w:rPr>
          <w:spacing w:val="-3"/>
        </w:rPr>
        <w:t>。</w:t>
      </w:r>
      <w:r>
        <w:t>如</w:t>
      </w:r>
      <w:r>
        <w:rPr>
          <w:spacing w:val="-3"/>
        </w:rPr>
        <w:t>有</w:t>
      </w:r>
      <w:r>
        <w:t>矛盾</w:t>
      </w:r>
      <w:r>
        <w:rPr>
          <w:spacing w:val="-3"/>
        </w:rPr>
        <w:t>，</w:t>
      </w:r>
      <w:r>
        <w:t>应</w:t>
      </w:r>
      <w:r>
        <w:rPr>
          <w:spacing w:val="-3"/>
        </w:rPr>
        <w:t>以</w:t>
      </w:r>
      <w:r>
        <w:t>本</w:t>
      </w:r>
      <w:r>
        <w:rPr>
          <w:spacing w:val="-3"/>
        </w:rPr>
        <w:t>表</w:t>
      </w:r>
      <w:r>
        <w:t>为</w:t>
      </w:r>
      <w:r>
        <w:rPr>
          <w:spacing w:val="-3"/>
        </w:rPr>
        <w:t>准</w:t>
      </w:r>
      <w:r>
        <w:t>。</w:t>
      </w:r>
    </w:p>
    <w:tbl>
      <w:tblPr>
        <w:tblStyle w:val="11"/>
        <w:tblW w:w="100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101"/>
        <w:gridCol w:w="853"/>
        <w:gridCol w:w="7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560" w:lineRule="exact"/>
              <w:jc w:val="center"/>
              <w:rPr>
                <w:rFonts w:ascii="宋体" w:hAnsi="宋体"/>
                <w:sz w:val="24"/>
              </w:rPr>
            </w:pPr>
            <w:r>
              <w:rPr>
                <w:rFonts w:hint="eastAsia" w:ascii="宋体" w:hAnsi="宋体"/>
                <w:sz w:val="24"/>
              </w:rPr>
              <w:t>条款号</w:t>
            </w:r>
          </w:p>
        </w:tc>
        <w:tc>
          <w:tcPr>
            <w:tcW w:w="1954" w:type="dxa"/>
            <w:gridSpan w:val="2"/>
            <w:vAlign w:val="center"/>
          </w:tcPr>
          <w:p>
            <w:pPr>
              <w:spacing w:line="560" w:lineRule="exact"/>
              <w:jc w:val="center"/>
              <w:rPr>
                <w:rFonts w:ascii="宋体" w:hAnsi="宋体"/>
                <w:sz w:val="24"/>
              </w:rPr>
            </w:pPr>
            <w:r>
              <w:rPr>
                <w:rFonts w:hint="eastAsia" w:ascii="宋体" w:hAnsi="宋体"/>
                <w:sz w:val="24"/>
              </w:rPr>
              <w:t>项目</w:t>
            </w:r>
          </w:p>
        </w:tc>
        <w:tc>
          <w:tcPr>
            <w:tcW w:w="7063" w:type="dxa"/>
            <w:vAlign w:val="center"/>
          </w:tcPr>
          <w:p>
            <w:pPr>
              <w:spacing w:line="560" w:lineRule="exact"/>
              <w:jc w:val="center"/>
              <w:rPr>
                <w:rFonts w:ascii="宋体" w:hAnsi="宋体"/>
                <w:sz w:val="24"/>
              </w:rPr>
            </w:pPr>
            <w:r>
              <w:rPr>
                <w:rFonts w:hint="eastAsia" w:ascii="宋体" w:hAnsi="宋体"/>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4"/>
              <w:spacing w:line="320" w:lineRule="exact"/>
              <w:jc w:val="center"/>
              <w:rPr>
                <w:rFonts w:ascii="宋体" w:hAnsi="宋体"/>
                <w:kern w:val="2"/>
                <w:sz w:val="21"/>
                <w:szCs w:val="21"/>
                <w:lang w:eastAsia="zh-CN"/>
              </w:rPr>
            </w:pPr>
            <w:r>
              <w:rPr>
                <w:rFonts w:ascii="宋体" w:hAnsi="宋体"/>
                <w:kern w:val="2"/>
                <w:sz w:val="21"/>
                <w:szCs w:val="21"/>
                <w:lang w:eastAsia="zh-CN"/>
              </w:rPr>
              <w:t>1.1</w:t>
            </w:r>
          </w:p>
        </w:tc>
        <w:tc>
          <w:tcPr>
            <w:tcW w:w="1954" w:type="dxa"/>
            <w:gridSpan w:val="2"/>
            <w:vAlign w:val="center"/>
          </w:tcPr>
          <w:p>
            <w:pPr>
              <w:pStyle w:val="14"/>
              <w:spacing w:line="320" w:lineRule="exact"/>
              <w:jc w:val="center"/>
              <w:rPr>
                <w:rFonts w:ascii="宋体" w:hAnsi="宋体"/>
                <w:kern w:val="2"/>
                <w:sz w:val="21"/>
                <w:szCs w:val="21"/>
                <w:lang w:eastAsia="zh-CN"/>
              </w:rPr>
            </w:pPr>
            <w:r>
              <w:rPr>
                <w:rFonts w:ascii="宋体" w:hAnsi="宋体"/>
                <w:kern w:val="2"/>
                <w:sz w:val="21"/>
                <w:szCs w:val="21"/>
                <w:lang w:eastAsia="zh-CN"/>
              </w:rPr>
              <w:t>采购人</w:t>
            </w:r>
          </w:p>
        </w:tc>
        <w:tc>
          <w:tcPr>
            <w:tcW w:w="7063" w:type="dxa"/>
            <w:vAlign w:val="center"/>
          </w:tcPr>
          <w:p>
            <w:pPr>
              <w:spacing w:line="300" w:lineRule="exact"/>
              <w:rPr>
                <w:rFonts w:ascii="宋体" w:hAnsi="宋体"/>
                <w:szCs w:val="21"/>
              </w:rPr>
            </w:pPr>
            <w:r>
              <w:rPr>
                <w:rFonts w:hint="eastAsia" w:ascii="宋体" w:hAnsi="宋体"/>
                <w:szCs w:val="21"/>
              </w:rPr>
              <w:t>黄石市</w:t>
            </w:r>
            <w:r>
              <w:rPr>
                <w:rFonts w:hint="eastAsia" w:ascii="宋体" w:hAnsi="宋体"/>
                <w:sz w:val="24"/>
              </w:rPr>
              <w:t>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4"/>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4</w:t>
            </w:r>
          </w:p>
        </w:tc>
        <w:tc>
          <w:tcPr>
            <w:tcW w:w="1954" w:type="dxa"/>
            <w:gridSpan w:val="2"/>
            <w:vAlign w:val="center"/>
          </w:tcPr>
          <w:p>
            <w:pPr>
              <w:pStyle w:val="14"/>
              <w:spacing w:line="320" w:lineRule="exact"/>
              <w:jc w:val="center"/>
              <w:rPr>
                <w:rFonts w:ascii="宋体" w:hAnsi="宋体"/>
                <w:kern w:val="2"/>
                <w:sz w:val="21"/>
                <w:szCs w:val="21"/>
                <w:lang w:eastAsia="zh-CN"/>
              </w:rPr>
            </w:pPr>
            <w:r>
              <w:rPr>
                <w:rFonts w:ascii="宋体" w:hAnsi="宋体"/>
                <w:kern w:val="2"/>
                <w:sz w:val="21"/>
                <w:szCs w:val="21"/>
                <w:lang w:eastAsia="zh-CN"/>
              </w:rPr>
              <w:t>项目名称</w:t>
            </w:r>
          </w:p>
        </w:tc>
        <w:tc>
          <w:tcPr>
            <w:tcW w:w="7063" w:type="dxa"/>
            <w:vAlign w:val="center"/>
          </w:tcPr>
          <w:p>
            <w:pPr>
              <w:spacing w:line="500" w:lineRule="exact"/>
              <w:rPr>
                <w:rFonts w:hint="default" w:ascii="仿宋" w:hAnsi="仿宋" w:eastAsia="仿宋" w:cs="仿宋"/>
                <w:b/>
                <w:bCs/>
                <w:sz w:val="28"/>
                <w:szCs w:val="28"/>
                <w:lang w:val="en-US" w:eastAsia="zh-CN"/>
              </w:rPr>
            </w:pPr>
            <w:r>
              <w:rPr>
                <w:rFonts w:hint="eastAsia" w:ascii="宋体" w:hAnsi="宋体"/>
                <w:sz w:val="24"/>
                <w:lang w:val="en-US" w:eastAsia="zh-CN"/>
              </w:rPr>
              <w:t>黄石市中心医院6号楼无线网络维护项目</w:t>
            </w:r>
          </w:p>
          <w:p>
            <w:pPr>
              <w:widowControl/>
              <w:spacing w:line="360" w:lineRule="auto"/>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4"/>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5</w:t>
            </w:r>
          </w:p>
        </w:tc>
        <w:tc>
          <w:tcPr>
            <w:tcW w:w="1954" w:type="dxa"/>
            <w:gridSpan w:val="2"/>
            <w:vAlign w:val="center"/>
          </w:tcPr>
          <w:p>
            <w:pPr>
              <w:pStyle w:val="14"/>
              <w:spacing w:line="320" w:lineRule="exact"/>
              <w:jc w:val="center"/>
              <w:rPr>
                <w:rFonts w:ascii="宋体" w:hAnsi="宋体"/>
                <w:kern w:val="2"/>
                <w:sz w:val="21"/>
                <w:szCs w:val="21"/>
                <w:lang w:eastAsia="zh-CN"/>
              </w:rPr>
            </w:pPr>
            <w:r>
              <w:rPr>
                <w:rFonts w:ascii="宋体" w:hAnsi="宋体"/>
                <w:kern w:val="2"/>
                <w:sz w:val="21"/>
                <w:szCs w:val="21"/>
                <w:lang w:eastAsia="zh-CN"/>
              </w:rPr>
              <w:t>项目地点</w:t>
            </w:r>
          </w:p>
        </w:tc>
        <w:tc>
          <w:tcPr>
            <w:tcW w:w="7063" w:type="dxa"/>
            <w:vAlign w:val="center"/>
          </w:tcPr>
          <w:p>
            <w:pPr>
              <w:spacing w:line="300" w:lineRule="exact"/>
              <w:rPr>
                <w:rFonts w:ascii="宋体" w:hAnsi="宋体"/>
                <w:szCs w:val="21"/>
              </w:rPr>
            </w:pPr>
            <w:r>
              <w:rPr>
                <w:rFonts w:hint="eastAsia" w:ascii="宋体" w:hAnsi="宋体"/>
                <w:szCs w:val="21"/>
              </w:rPr>
              <w:t>黄石市</w:t>
            </w:r>
            <w:r>
              <w:rPr>
                <w:rFonts w:hint="eastAsia" w:ascii="宋体" w:hAnsi="宋体"/>
                <w:sz w:val="24"/>
              </w:rPr>
              <w:t>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011" w:type="dxa"/>
            <w:vAlign w:val="center"/>
          </w:tcPr>
          <w:p>
            <w:pPr>
              <w:pStyle w:val="14"/>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6</w:t>
            </w:r>
          </w:p>
        </w:tc>
        <w:tc>
          <w:tcPr>
            <w:tcW w:w="1954" w:type="dxa"/>
            <w:gridSpan w:val="2"/>
            <w:vAlign w:val="center"/>
          </w:tcPr>
          <w:p>
            <w:pPr>
              <w:pStyle w:val="14"/>
              <w:spacing w:line="320" w:lineRule="exact"/>
              <w:jc w:val="center"/>
              <w:rPr>
                <w:rFonts w:ascii="宋体" w:hAnsi="宋体"/>
                <w:kern w:val="2"/>
                <w:sz w:val="21"/>
                <w:szCs w:val="21"/>
                <w:lang w:eastAsia="zh-CN"/>
              </w:rPr>
            </w:pPr>
            <w:r>
              <w:rPr>
                <w:rFonts w:ascii="宋体" w:hAnsi="宋体"/>
                <w:kern w:val="2"/>
                <w:sz w:val="21"/>
                <w:szCs w:val="21"/>
                <w:lang w:eastAsia="zh-CN"/>
              </w:rPr>
              <w:t>项目内容</w:t>
            </w:r>
          </w:p>
        </w:tc>
        <w:tc>
          <w:tcPr>
            <w:tcW w:w="7063" w:type="dxa"/>
            <w:vAlign w:val="center"/>
          </w:tcPr>
          <w:p>
            <w:pPr>
              <w:spacing w:line="300" w:lineRule="exact"/>
              <w:rPr>
                <w:rFonts w:ascii="宋体" w:hAnsi="宋体"/>
                <w:szCs w:val="21"/>
              </w:rPr>
            </w:pPr>
            <w:r>
              <w:rPr>
                <w:rFonts w:hint="eastAsia" w:ascii="宋体" w:hAnsi="宋体"/>
                <w:sz w:val="24"/>
                <w:lang w:val="en-US" w:eastAsia="zh-CN"/>
              </w:rPr>
              <w:t>无线网络维护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4"/>
              <w:spacing w:line="320" w:lineRule="exact"/>
              <w:jc w:val="center"/>
              <w:rPr>
                <w:rFonts w:ascii="宋体" w:hAnsi="宋体"/>
                <w:kern w:val="2"/>
                <w:sz w:val="21"/>
                <w:szCs w:val="21"/>
                <w:lang w:eastAsia="zh-CN"/>
              </w:rPr>
            </w:pPr>
            <w:r>
              <w:rPr>
                <w:rFonts w:ascii="宋体" w:hAnsi="宋体"/>
                <w:kern w:val="2"/>
                <w:sz w:val="21"/>
                <w:szCs w:val="21"/>
                <w:lang w:eastAsia="zh-CN"/>
              </w:rPr>
              <w:t>2.1</w:t>
            </w:r>
          </w:p>
        </w:tc>
        <w:tc>
          <w:tcPr>
            <w:tcW w:w="1954" w:type="dxa"/>
            <w:gridSpan w:val="2"/>
            <w:vAlign w:val="center"/>
          </w:tcPr>
          <w:p>
            <w:pPr>
              <w:pStyle w:val="14"/>
              <w:spacing w:line="320" w:lineRule="exact"/>
              <w:jc w:val="center"/>
              <w:rPr>
                <w:rFonts w:ascii="宋体" w:hAnsi="宋体"/>
                <w:kern w:val="2"/>
                <w:sz w:val="21"/>
                <w:szCs w:val="21"/>
                <w:lang w:eastAsia="zh-CN"/>
              </w:rPr>
            </w:pPr>
            <w:r>
              <w:rPr>
                <w:rFonts w:ascii="宋体" w:hAnsi="宋体"/>
                <w:kern w:val="2"/>
                <w:sz w:val="21"/>
                <w:szCs w:val="21"/>
                <w:lang w:eastAsia="zh-CN"/>
              </w:rPr>
              <w:t>资金来源</w:t>
            </w:r>
          </w:p>
        </w:tc>
        <w:tc>
          <w:tcPr>
            <w:tcW w:w="7063" w:type="dxa"/>
            <w:vAlign w:val="center"/>
          </w:tcPr>
          <w:p>
            <w:pPr>
              <w:spacing w:line="300" w:lineRule="exact"/>
              <w:rPr>
                <w:rFonts w:ascii="宋体" w:hAnsi="宋体"/>
                <w:szCs w:val="21"/>
              </w:rPr>
            </w:pPr>
            <w:r>
              <w:rPr>
                <w:rFonts w:hint="eastAsia" w:ascii="宋体" w:hAnsi="宋体"/>
                <w:szCs w:val="21"/>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4"/>
              <w:spacing w:line="320" w:lineRule="exact"/>
              <w:jc w:val="center"/>
              <w:rPr>
                <w:rFonts w:ascii="宋体" w:hAnsi="宋体"/>
                <w:kern w:val="2"/>
                <w:sz w:val="21"/>
                <w:szCs w:val="21"/>
                <w:lang w:eastAsia="zh-CN"/>
              </w:rPr>
            </w:pPr>
            <w:r>
              <w:rPr>
                <w:rFonts w:ascii="宋体" w:hAnsi="宋体"/>
                <w:kern w:val="2"/>
                <w:sz w:val="21"/>
                <w:szCs w:val="21"/>
                <w:lang w:eastAsia="zh-CN"/>
              </w:rPr>
              <w:t>2.2</w:t>
            </w:r>
          </w:p>
        </w:tc>
        <w:tc>
          <w:tcPr>
            <w:tcW w:w="1954" w:type="dxa"/>
            <w:gridSpan w:val="2"/>
            <w:vAlign w:val="center"/>
          </w:tcPr>
          <w:p>
            <w:pPr>
              <w:pStyle w:val="14"/>
              <w:spacing w:line="320" w:lineRule="exact"/>
              <w:jc w:val="center"/>
              <w:rPr>
                <w:rFonts w:ascii="宋体" w:hAnsi="宋体"/>
                <w:kern w:val="2"/>
                <w:sz w:val="21"/>
                <w:szCs w:val="21"/>
                <w:lang w:eastAsia="zh-CN"/>
              </w:rPr>
            </w:pPr>
            <w:r>
              <w:rPr>
                <w:rFonts w:ascii="宋体" w:hAnsi="宋体"/>
                <w:kern w:val="2"/>
                <w:sz w:val="21"/>
                <w:szCs w:val="21"/>
                <w:lang w:eastAsia="zh-CN"/>
              </w:rPr>
              <w:t>资金落实情况</w:t>
            </w:r>
          </w:p>
        </w:tc>
        <w:tc>
          <w:tcPr>
            <w:tcW w:w="7063" w:type="dxa"/>
            <w:vAlign w:val="center"/>
          </w:tcPr>
          <w:p>
            <w:pPr>
              <w:spacing w:line="300" w:lineRule="exact"/>
              <w:rPr>
                <w:rFonts w:ascii="宋体" w:hAnsi="宋体"/>
                <w:szCs w:val="21"/>
              </w:rPr>
            </w:pPr>
            <w:r>
              <w:rPr>
                <w:rFonts w:hint="eastAsia" w:ascii="宋体" w:hAnsi="宋体"/>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cs="宋体"/>
                <w:szCs w:val="21"/>
              </w:rPr>
              <w:t>3</w:t>
            </w:r>
            <w:r>
              <w:rPr>
                <w:rFonts w:ascii="宋体" w:hAnsi="宋体" w:cs="宋体"/>
                <w:szCs w:val="21"/>
              </w:rPr>
              <w:t>.1</w:t>
            </w:r>
          </w:p>
        </w:tc>
        <w:tc>
          <w:tcPr>
            <w:tcW w:w="1954" w:type="dxa"/>
            <w:gridSpan w:val="2"/>
            <w:vAlign w:val="center"/>
          </w:tcPr>
          <w:p>
            <w:pPr>
              <w:spacing w:line="320" w:lineRule="exact"/>
              <w:jc w:val="center"/>
              <w:rPr>
                <w:rFonts w:ascii="宋体" w:hAnsi="宋体"/>
                <w:szCs w:val="21"/>
              </w:rPr>
            </w:pPr>
            <w:r>
              <w:rPr>
                <w:rFonts w:hint="eastAsia" w:ascii="宋体" w:hAnsi="宋体"/>
                <w:szCs w:val="21"/>
              </w:rPr>
              <w:t>供应商资格要求</w:t>
            </w:r>
          </w:p>
        </w:tc>
        <w:tc>
          <w:tcPr>
            <w:tcW w:w="7063" w:type="dxa"/>
            <w:vAlign w:val="center"/>
          </w:tcPr>
          <w:p>
            <w:pPr>
              <w:pStyle w:val="14"/>
              <w:spacing w:line="320" w:lineRule="exact"/>
              <w:rPr>
                <w:rFonts w:ascii="宋体" w:hAnsi="宋体"/>
                <w:kern w:val="2"/>
                <w:sz w:val="21"/>
                <w:szCs w:val="21"/>
                <w:lang w:eastAsia="zh-CN"/>
              </w:rPr>
            </w:pPr>
            <w:r>
              <w:rPr>
                <w:rFonts w:hint="eastAsia" w:ascii="宋体" w:hAnsi="宋体"/>
                <w:kern w:val="2"/>
                <w:sz w:val="21"/>
                <w:szCs w:val="21"/>
                <w:lang w:eastAsia="zh-CN"/>
              </w:rPr>
              <w:t>详见第一章采购邀请“二、供应商资格要求”</w:t>
            </w:r>
            <w:r>
              <w:rPr>
                <w:rFonts w:ascii="宋体" w:hAnsi="宋体"/>
                <w:kern w:val="2"/>
                <w:sz w:val="21"/>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4"/>
              <w:spacing w:line="320" w:lineRule="exact"/>
              <w:jc w:val="center"/>
              <w:rPr>
                <w:rFonts w:ascii="宋体" w:hAnsi="宋体"/>
                <w:kern w:val="2"/>
                <w:sz w:val="21"/>
                <w:szCs w:val="21"/>
                <w:lang w:eastAsia="zh-CN"/>
              </w:rPr>
            </w:pPr>
            <w:r>
              <w:rPr>
                <w:rFonts w:hint="eastAsia" w:ascii="宋体" w:hAnsi="宋体"/>
                <w:kern w:val="2"/>
                <w:sz w:val="21"/>
                <w:szCs w:val="21"/>
                <w:lang w:eastAsia="zh-CN"/>
              </w:rPr>
              <w:t>3.2</w:t>
            </w:r>
          </w:p>
        </w:tc>
        <w:tc>
          <w:tcPr>
            <w:tcW w:w="1954" w:type="dxa"/>
            <w:gridSpan w:val="2"/>
            <w:vAlign w:val="center"/>
          </w:tcPr>
          <w:p>
            <w:pPr>
              <w:spacing w:line="320" w:lineRule="exact"/>
              <w:jc w:val="center"/>
              <w:rPr>
                <w:rFonts w:ascii="宋体" w:hAnsi="宋体"/>
                <w:szCs w:val="21"/>
              </w:rPr>
            </w:pPr>
            <w:r>
              <w:rPr>
                <w:rFonts w:hint="eastAsia" w:ascii="宋体" w:hAnsi="宋体"/>
                <w:szCs w:val="21"/>
              </w:rPr>
              <w:t>是否接受联合体</w:t>
            </w:r>
          </w:p>
        </w:tc>
        <w:tc>
          <w:tcPr>
            <w:tcW w:w="7063" w:type="dxa"/>
            <w:vAlign w:val="center"/>
          </w:tcPr>
          <w:p>
            <w:pPr>
              <w:autoSpaceDE w:val="0"/>
              <w:autoSpaceDN w:val="0"/>
              <w:adjustRightInd w:val="0"/>
              <w:spacing w:line="300" w:lineRule="exact"/>
              <w:jc w:val="left"/>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eq \o\ac(□,√)</w:instrText>
            </w:r>
            <w:r>
              <w:rPr>
                <w:rFonts w:ascii="宋体" w:hAnsi="宋体"/>
                <w:szCs w:val="21"/>
              </w:rPr>
              <w:fldChar w:fldCharType="end"/>
            </w:r>
            <w:r>
              <w:rPr>
                <w:rFonts w:hint="eastAsia" w:ascii="宋体" w:hAnsi="宋体"/>
                <w:szCs w:val="21"/>
              </w:rPr>
              <w:t>不接受</w:t>
            </w:r>
          </w:p>
          <w:p>
            <w:pPr>
              <w:autoSpaceDE w:val="0"/>
              <w:autoSpaceDN w:val="0"/>
              <w:adjustRightInd w:val="0"/>
              <w:spacing w:line="300" w:lineRule="exact"/>
              <w:jc w:val="left"/>
              <w:rPr>
                <w:rFonts w:ascii="宋体" w:hAnsi="宋体"/>
                <w:szCs w:val="21"/>
              </w:rPr>
            </w:pPr>
            <w:r>
              <w:rPr>
                <w:rFonts w:hint="eastAsia" w:ascii="宋体" w:hAnsi="宋体"/>
                <w:szCs w:val="21"/>
              </w:rPr>
              <w:t>□接受</w:t>
            </w:r>
            <w:r>
              <w:rPr>
                <w:rFonts w:ascii="宋体" w:hAnsi="宋体"/>
                <w:szCs w:val="21"/>
              </w:rPr>
              <w:t>，</w:t>
            </w:r>
            <w:r>
              <w:rPr>
                <w:rFonts w:hint="eastAsia" w:ascii="宋体" w:hAnsi="宋体"/>
                <w:szCs w:val="21"/>
              </w:rPr>
              <w:t>基本</w:t>
            </w:r>
            <w:r>
              <w:rPr>
                <w:rFonts w:ascii="宋体" w:hAnsi="宋体"/>
                <w:szCs w:val="21"/>
              </w:rPr>
              <w:t xml:space="preserve">要求： </w:t>
            </w:r>
            <w:r>
              <w:rPr>
                <w:rFonts w:hint="eastAsia" w:ascii="宋体" w:hAnsi="宋体"/>
                <w:szCs w:val="21"/>
              </w:rPr>
              <w:t>提供</w:t>
            </w:r>
            <w:r>
              <w:rPr>
                <w:rFonts w:ascii="宋体" w:hAnsi="宋体"/>
                <w:szCs w:val="21"/>
              </w:rPr>
              <w:t>联合体协议</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4"/>
              <w:spacing w:line="320" w:lineRule="exact"/>
              <w:jc w:val="center"/>
              <w:rPr>
                <w:rFonts w:ascii="宋体" w:hAnsi="宋体" w:cs="宋体"/>
                <w:sz w:val="21"/>
                <w:szCs w:val="21"/>
                <w:lang w:eastAsia="zh-CN"/>
              </w:rPr>
            </w:pPr>
            <w:r>
              <w:rPr>
                <w:rFonts w:hint="eastAsia" w:ascii="宋体" w:hAnsi="宋体" w:cs="宋体"/>
                <w:sz w:val="21"/>
                <w:szCs w:val="21"/>
                <w:lang w:eastAsia="zh-CN"/>
              </w:rPr>
              <w:t>3</w:t>
            </w:r>
            <w:r>
              <w:rPr>
                <w:rFonts w:ascii="宋体" w:hAnsi="宋体" w:cs="宋体"/>
                <w:sz w:val="21"/>
                <w:szCs w:val="21"/>
              </w:rPr>
              <w:t>.</w:t>
            </w:r>
            <w:r>
              <w:rPr>
                <w:rFonts w:hint="eastAsia" w:ascii="宋体" w:hAnsi="宋体" w:cs="宋体"/>
                <w:sz w:val="21"/>
                <w:szCs w:val="21"/>
                <w:lang w:eastAsia="zh-CN"/>
              </w:rPr>
              <w:t>3</w:t>
            </w:r>
          </w:p>
        </w:tc>
        <w:tc>
          <w:tcPr>
            <w:tcW w:w="1954" w:type="dxa"/>
            <w:gridSpan w:val="2"/>
            <w:vAlign w:val="center"/>
          </w:tcPr>
          <w:p>
            <w:pPr>
              <w:pStyle w:val="14"/>
              <w:spacing w:line="320" w:lineRule="exact"/>
              <w:ind w:right="8"/>
              <w:jc w:val="center"/>
              <w:rPr>
                <w:rFonts w:ascii="宋体" w:hAnsi="宋体" w:cs="宋体"/>
                <w:sz w:val="21"/>
                <w:szCs w:val="21"/>
                <w:lang w:eastAsia="zh-CN"/>
              </w:rPr>
            </w:pPr>
            <w:r>
              <w:rPr>
                <w:rFonts w:hint="eastAsia" w:ascii="宋体" w:hAnsi="宋体" w:cs="宋体"/>
                <w:sz w:val="21"/>
                <w:szCs w:val="21"/>
                <w:lang w:eastAsia="zh-CN"/>
              </w:rPr>
              <w:t>对供应商资格限制的法定条款</w:t>
            </w:r>
          </w:p>
        </w:tc>
        <w:tc>
          <w:tcPr>
            <w:tcW w:w="7063" w:type="dxa"/>
          </w:tcPr>
          <w:p>
            <w:pPr>
              <w:pStyle w:val="14"/>
              <w:spacing w:line="300" w:lineRule="exact"/>
              <w:rPr>
                <w:rFonts w:ascii="宋体" w:hAnsi="宋体" w:cs="宋体"/>
                <w:sz w:val="21"/>
                <w:szCs w:val="21"/>
                <w:lang w:eastAsia="zh-CN"/>
              </w:rPr>
            </w:pPr>
            <w:r>
              <w:rPr>
                <w:rFonts w:hint="eastAsia" w:ascii="宋体" w:hAnsi="宋体" w:cs="宋体"/>
                <w:sz w:val="21"/>
                <w:szCs w:val="21"/>
                <w:lang w:eastAsia="zh-CN"/>
              </w:rPr>
              <w:t>1.</w:t>
            </w:r>
            <w:r>
              <w:rPr>
                <w:rFonts w:ascii="宋体" w:hAnsi="宋体" w:cs="宋体"/>
                <w:sz w:val="21"/>
                <w:szCs w:val="21"/>
                <w:lang w:eastAsia="zh-CN"/>
              </w:rPr>
              <w:t>单位</w:t>
            </w:r>
            <w:r>
              <w:rPr>
                <w:rFonts w:ascii="宋体" w:hAnsi="宋体" w:cs="宋体"/>
                <w:spacing w:val="-3"/>
                <w:sz w:val="21"/>
                <w:szCs w:val="21"/>
                <w:lang w:eastAsia="zh-CN"/>
              </w:rPr>
              <w:t>负</w:t>
            </w:r>
            <w:r>
              <w:rPr>
                <w:rFonts w:ascii="宋体" w:hAnsi="宋体" w:cs="宋体"/>
                <w:sz w:val="21"/>
                <w:szCs w:val="21"/>
                <w:lang w:eastAsia="zh-CN"/>
              </w:rPr>
              <w:t>责</w:t>
            </w:r>
            <w:r>
              <w:rPr>
                <w:rFonts w:ascii="宋体" w:hAnsi="宋体" w:cs="宋体"/>
                <w:spacing w:val="-3"/>
                <w:sz w:val="21"/>
                <w:szCs w:val="21"/>
                <w:lang w:eastAsia="zh-CN"/>
              </w:rPr>
              <w:t>人</w:t>
            </w:r>
            <w:r>
              <w:rPr>
                <w:rFonts w:ascii="宋体" w:hAnsi="宋体" w:cs="宋体"/>
                <w:sz w:val="21"/>
                <w:szCs w:val="21"/>
                <w:lang w:eastAsia="zh-CN"/>
              </w:rPr>
              <w:t>为</w:t>
            </w:r>
            <w:r>
              <w:rPr>
                <w:rFonts w:ascii="宋体" w:hAnsi="宋体" w:cs="宋体"/>
                <w:spacing w:val="-3"/>
                <w:sz w:val="21"/>
                <w:szCs w:val="21"/>
                <w:lang w:eastAsia="zh-CN"/>
              </w:rPr>
              <w:t>同</w:t>
            </w:r>
            <w:r>
              <w:rPr>
                <w:rFonts w:ascii="宋体" w:hAnsi="宋体" w:cs="宋体"/>
                <w:sz w:val="21"/>
                <w:szCs w:val="21"/>
                <w:lang w:eastAsia="zh-CN"/>
              </w:rPr>
              <w:t>一</w:t>
            </w:r>
            <w:r>
              <w:rPr>
                <w:rFonts w:ascii="宋体" w:hAnsi="宋体" w:cs="宋体"/>
                <w:spacing w:val="-3"/>
                <w:sz w:val="21"/>
                <w:szCs w:val="21"/>
                <w:lang w:eastAsia="zh-CN"/>
              </w:rPr>
              <w:t>人</w:t>
            </w:r>
            <w:r>
              <w:rPr>
                <w:rFonts w:ascii="宋体" w:hAnsi="宋体" w:cs="宋体"/>
                <w:sz w:val="21"/>
                <w:szCs w:val="21"/>
                <w:lang w:eastAsia="zh-CN"/>
              </w:rPr>
              <w:t>或</w:t>
            </w:r>
            <w:r>
              <w:rPr>
                <w:rFonts w:ascii="宋体" w:hAnsi="宋体" w:cs="宋体"/>
                <w:spacing w:val="-3"/>
                <w:sz w:val="21"/>
                <w:szCs w:val="21"/>
                <w:lang w:eastAsia="zh-CN"/>
              </w:rPr>
              <w:t>者</w:t>
            </w:r>
            <w:r>
              <w:rPr>
                <w:rFonts w:ascii="宋体" w:hAnsi="宋体" w:cs="宋体"/>
                <w:sz w:val="21"/>
                <w:szCs w:val="21"/>
                <w:lang w:eastAsia="zh-CN"/>
              </w:rPr>
              <w:t>存在</w:t>
            </w:r>
            <w:r>
              <w:rPr>
                <w:rFonts w:ascii="宋体" w:hAnsi="宋体" w:cs="宋体"/>
                <w:spacing w:val="-3"/>
                <w:sz w:val="21"/>
                <w:szCs w:val="21"/>
                <w:lang w:eastAsia="zh-CN"/>
              </w:rPr>
              <w:t>直</w:t>
            </w:r>
            <w:r>
              <w:rPr>
                <w:rFonts w:ascii="宋体" w:hAnsi="宋体" w:cs="宋体"/>
                <w:sz w:val="21"/>
                <w:szCs w:val="21"/>
                <w:lang w:eastAsia="zh-CN"/>
              </w:rPr>
              <w:t>接</w:t>
            </w:r>
            <w:r>
              <w:rPr>
                <w:rFonts w:ascii="宋体" w:hAnsi="宋体" w:cs="宋体"/>
                <w:spacing w:val="-3"/>
                <w:sz w:val="21"/>
                <w:szCs w:val="21"/>
                <w:lang w:eastAsia="zh-CN"/>
              </w:rPr>
              <w:t>控</w:t>
            </w:r>
            <w:r>
              <w:rPr>
                <w:rFonts w:ascii="宋体" w:hAnsi="宋体" w:cs="宋体"/>
                <w:sz w:val="21"/>
                <w:szCs w:val="21"/>
                <w:lang w:eastAsia="zh-CN"/>
              </w:rPr>
              <w:t>股</w:t>
            </w:r>
            <w:r>
              <w:rPr>
                <w:rFonts w:ascii="宋体" w:hAnsi="宋体" w:cs="宋体"/>
                <w:spacing w:val="-3"/>
                <w:sz w:val="21"/>
                <w:szCs w:val="21"/>
                <w:lang w:eastAsia="zh-CN"/>
              </w:rPr>
              <w:t>、</w:t>
            </w:r>
            <w:r>
              <w:rPr>
                <w:rFonts w:ascii="宋体" w:hAnsi="宋体" w:cs="宋体"/>
                <w:sz w:val="21"/>
                <w:szCs w:val="21"/>
                <w:lang w:eastAsia="zh-CN"/>
              </w:rPr>
              <w:t>管</w:t>
            </w:r>
            <w:r>
              <w:rPr>
                <w:rFonts w:ascii="宋体" w:hAnsi="宋体" w:cs="宋体"/>
                <w:spacing w:val="-3"/>
                <w:sz w:val="21"/>
                <w:szCs w:val="21"/>
                <w:lang w:eastAsia="zh-CN"/>
              </w:rPr>
              <w:t>理</w:t>
            </w:r>
            <w:r>
              <w:rPr>
                <w:rFonts w:ascii="宋体" w:hAnsi="宋体" w:cs="宋体"/>
                <w:sz w:val="21"/>
                <w:szCs w:val="21"/>
                <w:lang w:eastAsia="zh-CN"/>
              </w:rPr>
              <w:t>关</w:t>
            </w:r>
            <w:r>
              <w:rPr>
                <w:rFonts w:ascii="宋体" w:hAnsi="宋体" w:cs="宋体"/>
                <w:spacing w:val="-3"/>
                <w:sz w:val="21"/>
                <w:szCs w:val="21"/>
                <w:lang w:eastAsia="zh-CN"/>
              </w:rPr>
              <w:t>系</w:t>
            </w:r>
            <w:r>
              <w:rPr>
                <w:rFonts w:ascii="宋体" w:hAnsi="宋体" w:cs="宋体"/>
                <w:sz w:val="21"/>
                <w:szCs w:val="21"/>
                <w:lang w:eastAsia="zh-CN"/>
              </w:rPr>
              <w:t>的不</w:t>
            </w:r>
            <w:r>
              <w:rPr>
                <w:rFonts w:ascii="宋体" w:hAnsi="宋体" w:cs="宋体"/>
                <w:spacing w:val="-3"/>
                <w:sz w:val="21"/>
                <w:szCs w:val="21"/>
                <w:lang w:eastAsia="zh-CN"/>
              </w:rPr>
              <w:t>同</w:t>
            </w:r>
            <w:r>
              <w:rPr>
                <w:rFonts w:ascii="宋体" w:hAnsi="宋体" w:cs="宋体"/>
                <w:sz w:val="21"/>
                <w:szCs w:val="21"/>
                <w:lang w:eastAsia="zh-CN"/>
              </w:rPr>
              <w:t>供应商</w:t>
            </w:r>
            <w:r>
              <w:rPr>
                <w:rFonts w:ascii="宋体" w:hAnsi="宋体" w:cs="宋体"/>
                <w:spacing w:val="-3"/>
                <w:sz w:val="21"/>
                <w:szCs w:val="21"/>
                <w:lang w:eastAsia="zh-CN"/>
              </w:rPr>
              <w:t>，</w:t>
            </w:r>
            <w:r>
              <w:rPr>
                <w:rFonts w:ascii="宋体" w:hAnsi="宋体" w:cs="宋体"/>
                <w:sz w:val="21"/>
                <w:szCs w:val="21"/>
                <w:lang w:eastAsia="zh-CN"/>
              </w:rPr>
              <w:t>不</w:t>
            </w:r>
            <w:r>
              <w:rPr>
                <w:rFonts w:ascii="宋体" w:hAnsi="宋体" w:cs="宋体"/>
                <w:spacing w:val="-3"/>
                <w:sz w:val="21"/>
                <w:szCs w:val="21"/>
                <w:lang w:eastAsia="zh-CN"/>
              </w:rPr>
              <w:t>得</w:t>
            </w:r>
            <w:r>
              <w:rPr>
                <w:rFonts w:ascii="宋体" w:hAnsi="宋体" w:cs="宋体"/>
                <w:sz w:val="21"/>
                <w:szCs w:val="21"/>
                <w:lang w:eastAsia="zh-CN"/>
              </w:rPr>
              <w:t>参</w:t>
            </w:r>
            <w:r>
              <w:rPr>
                <w:rFonts w:ascii="宋体" w:hAnsi="宋体" w:cs="宋体"/>
                <w:spacing w:val="-3"/>
                <w:sz w:val="21"/>
                <w:szCs w:val="21"/>
                <w:lang w:eastAsia="zh-CN"/>
              </w:rPr>
              <w:t>加</w:t>
            </w:r>
            <w:r>
              <w:rPr>
                <w:rFonts w:ascii="宋体" w:hAnsi="宋体" w:cs="宋体"/>
                <w:sz w:val="21"/>
                <w:szCs w:val="21"/>
                <w:lang w:eastAsia="zh-CN"/>
              </w:rPr>
              <w:t>同</w:t>
            </w:r>
            <w:r>
              <w:rPr>
                <w:rFonts w:ascii="宋体" w:hAnsi="宋体" w:cs="宋体"/>
                <w:spacing w:val="-3"/>
                <w:sz w:val="21"/>
                <w:szCs w:val="21"/>
                <w:lang w:eastAsia="zh-CN"/>
              </w:rPr>
              <w:t>一</w:t>
            </w:r>
            <w:r>
              <w:rPr>
                <w:rFonts w:ascii="宋体" w:hAnsi="宋体" w:cs="宋体"/>
                <w:sz w:val="21"/>
                <w:szCs w:val="21"/>
                <w:lang w:eastAsia="zh-CN"/>
              </w:rPr>
              <w:t>合</w:t>
            </w:r>
            <w:r>
              <w:rPr>
                <w:rFonts w:ascii="宋体" w:hAnsi="宋体" w:cs="宋体"/>
                <w:spacing w:val="-3"/>
                <w:sz w:val="21"/>
                <w:szCs w:val="21"/>
                <w:lang w:eastAsia="zh-CN"/>
              </w:rPr>
              <w:t>同</w:t>
            </w:r>
            <w:r>
              <w:rPr>
                <w:rFonts w:ascii="宋体" w:hAnsi="宋体" w:cs="宋体"/>
                <w:sz w:val="21"/>
                <w:szCs w:val="21"/>
                <w:lang w:eastAsia="zh-CN"/>
              </w:rPr>
              <w:t>项下</w:t>
            </w:r>
            <w:r>
              <w:rPr>
                <w:rFonts w:ascii="宋体" w:hAnsi="宋体" w:cs="宋体"/>
                <w:spacing w:val="-3"/>
                <w:sz w:val="21"/>
                <w:szCs w:val="21"/>
                <w:lang w:eastAsia="zh-CN"/>
              </w:rPr>
              <w:t>的</w:t>
            </w:r>
            <w:r>
              <w:rPr>
                <w:rFonts w:ascii="宋体" w:hAnsi="宋体" w:cs="宋体"/>
                <w:sz w:val="21"/>
                <w:szCs w:val="21"/>
                <w:lang w:eastAsia="zh-CN"/>
              </w:rPr>
              <w:t>政</w:t>
            </w:r>
            <w:r>
              <w:rPr>
                <w:rFonts w:ascii="宋体" w:hAnsi="宋体" w:cs="宋体"/>
                <w:spacing w:val="-3"/>
                <w:sz w:val="21"/>
                <w:szCs w:val="21"/>
                <w:lang w:eastAsia="zh-CN"/>
              </w:rPr>
              <w:t>府</w:t>
            </w:r>
            <w:r>
              <w:rPr>
                <w:rFonts w:ascii="宋体" w:hAnsi="宋体" w:cs="宋体"/>
                <w:sz w:val="21"/>
                <w:szCs w:val="21"/>
                <w:lang w:eastAsia="zh-CN"/>
              </w:rPr>
              <w:t>采</w:t>
            </w:r>
            <w:r>
              <w:rPr>
                <w:rFonts w:ascii="宋体" w:hAnsi="宋体" w:cs="宋体"/>
                <w:spacing w:val="-3"/>
                <w:sz w:val="21"/>
                <w:szCs w:val="21"/>
                <w:lang w:eastAsia="zh-CN"/>
              </w:rPr>
              <w:t>购</w:t>
            </w:r>
            <w:r>
              <w:rPr>
                <w:rFonts w:ascii="宋体" w:hAnsi="宋体" w:cs="宋体"/>
                <w:sz w:val="21"/>
                <w:szCs w:val="21"/>
                <w:lang w:eastAsia="zh-CN"/>
              </w:rPr>
              <w:t>活</w:t>
            </w:r>
            <w:r>
              <w:rPr>
                <w:rFonts w:ascii="宋体" w:hAnsi="宋体" w:cs="宋体"/>
                <w:spacing w:val="-2"/>
                <w:sz w:val="21"/>
                <w:szCs w:val="21"/>
                <w:lang w:eastAsia="zh-CN"/>
              </w:rPr>
              <w:t>动</w:t>
            </w:r>
            <w:r>
              <w:rPr>
                <w:rFonts w:hint="eastAsia" w:ascii="宋体" w:hAnsi="宋体" w:cs="宋体"/>
                <w:sz w:val="21"/>
                <w:szCs w:val="21"/>
                <w:lang w:eastAsia="zh-CN"/>
              </w:rPr>
              <w:t xml:space="preserve">。 </w:t>
            </w:r>
          </w:p>
          <w:p>
            <w:pPr>
              <w:pStyle w:val="14"/>
              <w:spacing w:line="300" w:lineRule="exact"/>
              <w:rPr>
                <w:rFonts w:ascii="宋体" w:hAnsi="宋体" w:cs="宋体"/>
                <w:sz w:val="21"/>
                <w:szCs w:val="21"/>
                <w:lang w:eastAsia="zh-CN"/>
              </w:rPr>
            </w:pPr>
            <w:r>
              <w:rPr>
                <w:rFonts w:hint="eastAsia" w:ascii="宋体" w:hAnsi="宋体" w:cs="宋体"/>
                <w:sz w:val="21"/>
                <w:szCs w:val="21"/>
                <w:lang w:eastAsia="zh-CN"/>
              </w:rPr>
              <w:t>2.除单一来源采购项目外，为采购项目提供整体设计、规范编制或者项目管理、监理、检测等服务的供应商，不得再参加该采购项目的其他采购活动。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cs="宋体"/>
                <w:szCs w:val="21"/>
              </w:rPr>
              <w:t>5</w:t>
            </w:r>
            <w:r>
              <w:rPr>
                <w:rFonts w:ascii="宋体" w:hAnsi="宋体" w:cs="宋体"/>
                <w:szCs w:val="21"/>
              </w:rPr>
              <w:t>.</w:t>
            </w:r>
            <w:r>
              <w:rPr>
                <w:rFonts w:hint="eastAsia" w:ascii="宋体" w:hAnsi="宋体" w:cs="宋体"/>
                <w:szCs w:val="21"/>
              </w:rPr>
              <w:t>1</w:t>
            </w:r>
          </w:p>
        </w:tc>
        <w:tc>
          <w:tcPr>
            <w:tcW w:w="1954" w:type="dxa"/>
            <w:gridSpan w:val="2"/>
            <w:vAlign w:val="center"/>
          </w:tcPr>
          <w:p>
            <w:pPr>
              <w:spacing w:line="320" w:lineRule="exact"/>
              <w:jc w:val="center"/>
              <w:rPr>
                <w:rFonts w:ascii="宋体" w:hAnsi="宋体"/>
                <w:szCs w:val="21"/>
              </w:rPr>
            </w:pPr>
            <w:r>
              <w:rPr>
                <w:rFonts w:hint="eastAsia" w:ascii="宋体" w:hAnsi="宋体"/>
                <w:szCs w:val="21"/>
              </w:rPr>
              <w:t>现场考察</w:t>
            </w:r>
          </w:p>
        </w:tc>
        <w:tc>
          <w:tcPr>
            <w:tcW w:w="7063" w:type="dxa"/>
            <w:vAlign w:val="center"/>
          </w:tcPr>
          <w:p>
            <w:pPr>
              <w:spacing w:line="300" w:lineRule="exact"/>
              <w:jc w:val="left"/>
              <w:rPr>
                <w:rFonts w:ascii="宋体" w:hAnsi="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szCs w:val="21"/>
              </w:rPr>
              <w:t>不组织，供应商自行踏勘</w:t>
            </w:r>
          </w:p>
          <w:p>
            <w:pPr>
              <w:spacing w:line="300" w:lineRule="exact"/>
              <w:jc w:val="left"/>
              <w:rPr>
                <w:rFonts w:ascii="宋体" w:hAnsi="宋体"/>
                <w:szCs w:val="21"/>
              </w:rPr>
            </w:pPr>
            <w:r>
              <w:rPr>
                <w:rFonts w:hint="eastAsia" w:ascii="宋体" w:hAnsi="宋体"/>
                <w:szCs w:val="21"/>
              </w:rPr>
              <w:t>□组织</w:t>
            </w:r>
          </w:p>
          <w:p>
            <w:pPr>
              <w:spacing w:line="300" w:lineRule="exact"/>
              <w:jc w:val="left"/>
              <w:rPr>
                <w:rFonts w:ascii="宋体" w:hAnsi="宋体"/>
                <w:szCs w:val="21"/>
              </w:rPr>
            </w:pPr>
            <w:r>
              <w:rPr>
                <w:rFonts w:hint="eastAsia" w:ascii="宋体" w:hAnsi="宋体"/>
                <w:szCs w:val="21"/>
              </w:rPr>
              <w:t>考察时间：20XX年XX月XX日9：00时</w:t>
            </w:r>
          </w:p>
          <w:p>
            <w:pPr>
              <w:spacing w:line="300" w:lineRule="exact"/>
              <w:jc w:val="left"/>
              <w:rPr>
                <w:rFonts w:ascii="宋体" w:hAnsi="宋体"/>
                <w:szCs w:val="21"/>
              </w:rPr>
            </w:pPr>
            <w:r>
              <w:rPr>
                <w:rFonts w:hint="eastAsia" w:ascii="宋体" w:hAnsi="宋体"/>
                <w:szCs w:val="21"/>
              </w:rPr>
              <w:t>考察集中地点：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16.1</w:t>
            </w:r>
          </w:p>
        </w:tc>
        <w:tc>
          <w:tcPr>
            <w:tcW w:w="1954" w:type="dxa"/>
            <w:gridSpan w:val="2"/>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谈判有效期</w:t>
            </w:r>
          </w:p>
        </w:tc>
        <w:tc>
          <w:tcPr>
            <w:tcW w:w="7063" w:type="dxa"/>
            <w:vAlign w:val="center"/>
          </w:tcPr>
          <w:p>
            <w:pPr>
              <w:adjustRightInd w:val="0"/>
              <w:snapToGrid w:val="0"/>
              <w:spacing w:line="300" w:lineRule="exact"/>
              <w:rPr>
                <w:rFonts w:ascii="宋体" w:hAnsi="宋体" w:cs="宋体"/>
                <w:szCs w:val="21"/>
              </w:rPr>
            </w:pPr>
            <w:r>
              <w:rPr>
                <w:rFonts w:hint="eastAsia" w:ascii="宋体" w:hAnsi="宋体" w:cs="宋体"/>
                <w:szCs w:val="21"/>
              </w:rPr>
              <w:t>从开标之日起六十（60）日历天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17.1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谈判保证金</w:t>
            </w:r>
          </w:p>
        </w:tc>
        <w:tc>
          <w:tcPr>
            <w:tcW w:w="7063" w:type="dxa"/>
            <w:vAlign w:val="center"/>
          </w:tcPr>
          <w:p>
            <w:pPr>
              <w:spacing w:line="300" w:lineRule="exact"/>
              <w:jc w:val="left"/>
              <w:rPr>
                <w:rFonts w:ascii="宋体" w:hAnsi="宋体" w:cs="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cs="宋体"/>
                <w:szCs w:val="21"/>
              </w:rPr>
              <w:t>不收取</w:t>
            </w:r>
          </w:p>
          <w:p>
            <w:pPr>
              <w:spacing w:line="300" w:lineRule="exact"/>
              <w:jc w:val="left"/>
              <w:rPr>
                <w:rFonts w:ascii="宋体" w:hAnsi="宋体" w:cs="宋体"/>
                <w:szCs w:val="21"/>
              </w:rPr>
            </w:pPr>
            <w:r>
              <w:rPr>
                <w:rFonts w:hint="eastAsia" w:ascii="宋体" w:hAnsi="宋体" w:cs="宋体"/>
                <w:szCs w:val="21"/>
              </w:rPr>
              <w:t>□收取，保证金金额</w:t>
            </w:r>
            <w:r>
              <w:rPr>
                <w:rFonts w:hint="eastAsia" w:ascii="宋体" w:hAnsi="宋体" w:cs="宋体"/>
                <w:szCs w:val="21"/>
                <w:u w:val="single"/>
              </w:rPr>
              <w:t xml:space="preserve"> / </w:t>
            </w:r>
            <w:r>
              <w:rPr>
                <w:rFonts w:hint="eastAsia" w:ascii="宋体" w:hAnsi="宋体" w:cs="宋体"/>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18.1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是否允许备选方案</w:t>
            </w:r>
          </w:p>
        </w:tc>
        <w:tc>
          <w:tcPr>
            <w:tcW w:w="7063" w:type="dxa"/>
            <w:vAlign w:val="center"/>
          </w:tcPr>
          <w:p>
            <w:pPr>
              <w:spacing w:line="300" w:lineRule="exact"/>
              <w:jc w:val="left"/>
              <w:rPr>
                <w:rFonts w:ascii="宋体" w:hAnsi="宋体" w:cs="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cs="宋体"/>
                <w:szCs w:val="21"/>
              </w:rPr>
              <w:t>不允许</w:t>
            </w:r>
          </w:p>
          <w:p>
            <w:pPr>
              <w:spacing w:line="300" w:lineRule="exact"/>
              <w:jc w:val="left"/>
              <w:rPr>
                <w:rFonts w:ascii="宋体" w:hAnsi="宋体" w:cs="宋体"/>
                <w:szCs w:val="21"/>
              </w:rPr>
            </w:pPr>
            <w:r>
              <w:rPr>
                <w:rFonts w:hint="eastAsia" w:ascii="宋体" w:hAnsi="宋体" w:cs="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19.3</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响应文件份数</w:t>
            </w:r>
          </w:p>
        </w:tc>
        <w:tc>
          <w:tcPr>
            <w:tcW w:w="7063" w:type="dxa"/>
            <w:vAlign w:val="center"/>
          </w:tcPr>
          <w:p>
            <w:pPr>
              <w:spacing w:line="300" w:lineRule="exact"/>
              <w:rPr>
                <w:rFonts w:ascii="宋体" w:hAnsi="宋体" w:cs="宋体"/>
                <w:szCs w:val="21"/>
              </w:rPr>
            </w:pPr>
            <w:r>
              <w:rPr>
                <w:rFonts w:ascii="宋体" w:hAnsi="宋体" w:cs="宋体"/>
                <w:szCs w:val="21"/>
              </w:rPr>
              <w:t>正本一份、副本</w:t>
            </w:r>
            <w:r>
              <w:rPr>
                <w:rFonts w:hint="eastAsia" w:ascii="宋体" w:hAnsi="宋体" w:cs="宋体"/>
                <w:szCs w:val="21"/>
              </w:rPr>
              <w:t>三</w:t>
            </w:r>
            <w:r>
              <w:rPr>
                <w:rFonts w:ascii="宋体" w:hAnsi="宋体" w:cs="宋体"/>
                <w:szCs w:val="21"/>
              </w:rPr>
              <w:t>份</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20.1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响应文件装订要求</w:t>
            </w:r>
          </w:p>
        </w:tc>
        <w:tc>
          <w:tcPr>
            <w:tcW w:w="7063" w:type="dxa"/>
            <w:vAlign w:val="center"/>
          </w:tcPr>
          <w:p>
            <w:pPr>
              <w:autoSpaceDE w:val="0"/>
              <w:autoSpaceDN w:val="0"/>
              <w:adjustRightInd w:val="0"/>
              <w:jc w:val="left"/>
              <w:rPr>
                <w:rFonts w:ascii="宋体" w:hAnsi="宋体" w:cs="宋体"/>
                <w:color w:val="000000"/>
                <w:kern w:val="0"/>
                <w:szCs w:val="21"/>
              </w:rPr>
            </w:pPr>
            <w:r>
              <w:rPr>
                <w:rFonts w:ascii="宋体" w:hAnsi="宋体" w:cs="宋体"/>
                <w:color w:val="000000"/>
                <w:kern w:val="0"/>
                <w:szCs w:val="21"/>
              </w:rPr>
              <w:t>按照</w:t>
            </w:r>
            <w:r>
              <w:rPr>
                <w:rFonts w:hint="eastAsia" w:ascii="宋体" w:hAnsi="宋体" w:cs="宋体"/>
                <w:color w:val="000000"/>
                <w:kern w:val="0"/>
                <w:szCs w:val="21"/>
              </w:rPr>
              <w:t>供应商</w:t>
            </w:r>
            <w:r>
              <w:rPr>
                <w:rFonts w:ascii="宋体" w:hAnsi="宋体" w:cs="宋体"/>
                <w:color w:val="000000"/>
                <w:kern w:val="0"/>
                <w:szCs w:val="21"/>
              </w:rPr>
              <w:t>须知第</w:t>
            </w:r>
            <w:r>
              <w:rPr>
                <w:rFonts w:hint="eastAsia" w:ascii="宋体" w:hAnsi="宋体" w:cs="宋体"/>
                <w:color w:val="000000"/>
                <w:kern w:val="0"/>
                <w:szCs w:val="21"/>
              </w:rPr>
              <w:t>14</w:t>
            </w:r>
            <w:r>
              <w:rPr>
                <w:rFonts w:ascii="宋体" w:hAnsi="宋体" w:cs="宋体"/>
                <w:color w:val="000000"/>
                <w:kern w:val="0"/>
                <w:szCs w:val="21"/>
              </w:rPr>
              <w:t>.</w:t>
            </w:r>
            <w:r>
              <w:rPr>
                <w:rFonts w:hint="eastAsia" w:ascii="宋体" w:hAnsi="宋体" w:cs="宋体"/>
                <w:color w:val="000000"/>
                <w:kern w:val="0"/>
                <w:szCs w:val="21"/>
              </w:rPr>
              <w:t>2款</w:t>
            </w:r>
            <w:r>
              <w:rPr>
                <w:rFonts w:ascii="宋体" w:hAnsi="宋体" w:cs="宋体"/>
                <w:color w:val="000000"/>
                <w:kern w:val="0"/>
                <w:szCs w:val="21"/>
              </w:rPr>
              <w:t>规定的响应文件组成内容，响应文件应按以下要求装订：</w:t>
            </w:r>
          </w:p>
          <w:p>
            <w:pPr>
              <w:autoSpaceDE w:val="0"/>
              <w:autoSpaceDN w:val="0"/>
              <w:adjustRightInd w:val="0"/>
              <w:jc w:val="left"/>
              <w:rPr>
                <w:rFonts w:ascii="宋体" w:hAnsi="宋体" w:cs="宋体"/>
                <w:b/>
                <w:color w:val="000000"/>
                <w:kern w:val="0"/>
                <w:szCs w:val="21"/>
              </w:rPr>
            </w:pPr>
            <w:r>
              <w:rPr>
                <w:rFonts w:hint="eastAsia" w:ascii="宋体" w:hAnsi="宋体" w:cs="宋体"/>
                <w:b/>
                <w:color w:val="000000"/>
                <w:kern w:val="0"/>
                <w:szCs w:val="21"/>
              </w:rPr>
              <w:t>1.</w:t>
            </w:r>
            <w:r>
              <w:rPr>
                <w:rFonts w:ascii="宋体" w:hAnsi="宋体" w:cs="宋体"/>
                <w:b/>
                <w:color w:val="000000"/>
                <w:kern w:val="0"/>
                <w:szCs w:val="21"/>
              </w:rPr>
              <w:t>响应文件采用胶粘方式装订，装订应牢固、不易拆散和换页，不得采用活页装订</w:t>
            </w:r>
          </w:p>
          <w:p>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2.分册装订要求</w:t>
            </w:r>
          </w:p>
          <w:p>
            <w:pPr>
              <w:autoSpaceDE w:val="0"/>
              <w:autoSpaceDN w:val="0"/>
              <w:adjustRightInd w:val="0"/>
              <w:ind w:firstLine="207" w:firstLineChars="98"/>
              <w:jc w:val="left"/>
              <w:rPr>
                <w:rFonts w:ascii="宋体" w:hAnsi="宋体" w:cs="宋体"/>
                <w:color w:val="000000"/>
                <w:kern w:val="0"/>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ascii="宋体" w:hAnsi="宋体" w:cs="宋体"/>
                <w:color w:val="000000"/>
                <w:kern w:val="0"/>
                <w:szCs w:val="21"/>
              </w:rPr>
              <w:t>装订成一册</w:t>
            </w:r>
          </w:p>
          <w:p>
            <w:pPr>
              <w:autoSpaceDE w:val="0"/>
              <w:autoSpaceDN w:val="0"/>
              <w:adjustRightInd w:val="0"/>
              <w:ind w:firstLine="210" w:firstLineChars="100"/>
              <w:jc w:val="left"/>
              <w:rPr>
                <w:rFonts w:ascii="宋体" w:hAnsi="宋体" w:cs="宋体"/>
                <w:color w:val="000000"/>
                <w:kern w:val="0"/>
                <w:szCs w:val="21"/>
              </w:rPr>
            </w:pPr>
            <w:r>
              <w:rPr>
                <w:rFonts w:hint="eastAsia" w:ascii="宋体" w:hAnsi="宋体" w:cs="宋体"/>
                <w:szCs w:val="21"/>
              </w:rPr>
              <w:t>□</w:t>
            </w:r>
            <w:r>
              <w:rPr>
                <w:rFonts w:ascii="宋体" w:hAnsi="宋体" w:cs="宋体"/>
                <w:color w:val="000000"/>
                <w:kern w:val="0"/>
                <w:szCs w:val="21"/>
              </w:rPr>
              <w:t>分册装订，共分册，分别为：</w:t>
            </w:r>
          </w:p>
          <w:p>
            <w:pPr>
              <w:autoSpaceDE w:val="0"/>
              <w:autoSpaceDN w:val="0"/>
              <w:adjustRightInd w:val="0"/>
              <w:ind w:firstLine="420" w:firstLineChars="200"/>
              <w:jc w:val="left"/>
              <w:rPr>
                <w:rFonts w:ascii="宋体" w:hAnsi="宋体" w:cs="宋体"/>
                <w:color w:val="000000"/>
                <w:kern w:val="0"/>
                <w:szCs w:val="21"/>
              </w:rPr>
            </w:pPr>
            <w:r>
              <w:rPr>
                <w:rFonts w:ascii="宋体" w:hAnsi="宋体" w:cs="宋体"/>
                <w:color w:val="000000"/>
                <w:kern w:val="0"/>
                <w:szCs w:val="21"/>
              </w:rPr>
              <w:t>第一册，包括</w:t>
            </w:r>
            <w:r>
              <w:rPr>
                <w:rFonts w:hint="eastAsia" w:ascii="宋体" w:hAnsi="宋体" w:cs="宋体"/>
                <w:color w:val="000000"/>
                <w:kern w:val="0"/>
                <w:szCs w:val="21"/>
              </w:rPr>
              <w:t>：</w:t>
            </w:r>
            <w:r>
              <w:rPr>
                <w:rFonts w:hint="eastAsia" w:ascii="宋体" w:hAnsi="宋体" w:cs="宋体"/>
                <w:color w:val="000000"/>
                <w:kern w:val="0"/>
                <w:szCs w:val="21"/>
                <w:u w:val="single"/>
              </w:rPr>
              <w:t xml:space="preserve">               </w:t>
            </w:r>
          </w:p>
          <w:p>
            <w:pPr>
              <w:autoSpaceDE w:val="0"/>
              <w:autoSpaceDN w:val="0"/>
              <w:adjustRightInd w:val="0"/>
              <w:ind w:firstLine="420" w:firstLineChars="200"/>
              <w:jc w:val="left"/>
              <w:rPr>
                <w:rFonts w:ascii="宋体" w:hAnsi="宋体" w:cs="宋体"/>
                <w:color w:val="000000"/>
                <w:kern w:val="0"/>
                <w:szCs w:val="21"/>
              </w:rPr>
            </w:pPr>
            <w:r>
              <w:rPr>
                <w:rFonts w:ascii="宋体" w:hAnsi="宋体" w:cs="宋体"/>
                <w:color w:val="000000"/>
                <w:kern w:val="0"/>
                <w:szCs w:val="21"/>
              </w:rPr>
              <w:t>第二册，包括</w:t>
            </w:r>
            <w:r>
              <w:rPr>
                <w:rFonts w:hint="eastAsia" w:ascii="宋体" w:hAnsi="宋体" w:cs="宋体"/>
                <w:color w:val="000000"/>
                <w:kern w:val="0"/>
                <w:szCs w:val="21"/>
              </w:rPr>
              <w:t>：</w:t>
            </w:r>
            <w:r>
              <w:rPr>
                <w:rFonts w:hint="eastAsia" w:ascii="宋体" w:hAnsi="宋体" w:cs="宋体"/>
                <w:color w:val="000000"/>
                <w:kern w:val="0"/>
                <w:szCs w:val="21"/>
                <w:u w:val="single"/>
              </w:rPr>
              <w:t xml:space="preserve">               </w:t>
            </w:r>
          </w:p>
          <w:p>
            <w:pPr>
              <w:autoSpaceDE w:val="0"/>
              <w:autoSpaceDN w:val="0"/>
              <w:adjustRightInd w:val="0"/>
              <w:jc w:val="left"/>
              <w:rPr>
                <w:rFonts w:ascii="宋体" w:hAnsi="宋体" w:cs="宋体"/>
                <w:szCs w:val="21"/>
              </w:rPr>
            </w:pPr>
            <w:r>
              <w:rPr>
                <w:rFonts w:hint="eastAsia" w:ascii="宋体" w:hAnsi="宋体" w:cs="宋体"/>
                <w:szCs w:val="21"/>
              </w:rPr>
              <w:t>3.多包谈判装订要求：（本项目不适用）</w:t>
            </w:r>
          </w:p>
          <w:p>
            <w:pPr>
              <w:autoSpaceDE w:val="0"/>
              <w:autoSpaceDN w:val="0"/>
              <w:adjustRightInd w:val="0"/>
              <w:ind w:firstLine="205" w:firstLineChars="98"/>
              <w:jc w:val="left"/>
              <w:rPr>
                <w:rFonts w:ascii="宋体" w:hAnsi="宋体" w:cs="宋体"/>
                <w:color w:val="000000"/>
                <w:kern w:val="0"/>
                <w:szCs w:val="21"/>
              </w:rPr>
            </w:pPr>
            <w:r>
              <w:rPr>
                <w:rFonts w:ascii="宋体" w:hAnsi="宋体"/>
                <w:bCs/>
                <w:szCs w:val="21"/>
              </w:rPr>
              <w:fldChar w:fldCharType="begin"/>
            </w:r>
            <w:r>
              <w:rPr>
                <w:rFonts w:ascii="宋体" w:hAnsi="宋体"/>
                <w:bCs/>
                <w:szCs w:val="21"/>
              </w:rPr>
              <w:instrText xml:space="preserve"> </w:instrText>
            </w:r>
            <w:r>
              <w:rPr>
                <w:rFonts w:hint="eastAsia" w:ascii="宋体" w:hAnsi="宋体"/>
                <w:bCs/>
                <w:szCs w:val="21"/>
              </w:rPr>
              <w:instrText xml:space="preserve">eq \o\ac(□)</w:instrText>
            </w:r>
            <w:r>
              <w:rPr>
                <w:rFonts w:ascii="宋体" w:hAnsi="宋体"/>
                <w:bCs/>
                <w:szCs w:val="21"/>
              </w:rPr>
              <w:fldChar w:fldCharType="end"/>
            </w:r>
            <w:r>
              <w:rPr>
                <w:rFonts w:hint="eastAsia" w:ascii="宋体" w:hAnsi="宋体" w:cs="宋体"/>
                <w:color w:val="000000"/>
                <w:kern w:val="0"/>
                <w:szCs w:val="21"/>
              </w:rPr>
              <w:t>分包装订，每包装订</w:t>
            </w:r>
            <w:r>
              <w:rPr>
                <w:rFonts w:ascii="宋体" w:hAnsi="宋体" w:cs="宋体"/>
                <w:color w:val="000000"/>
                <w:kern w:val="0"/>
                <w:szCs w:val="21"/>
              </w:rPr>
              <w:t>成一册</w:t>
            </w:r>
          </w:p>
          <w:p>
            <w:pPr>
              <w:autoSpaceDE w:val="0"/>
              <w:autoSpaceDN w:val="0"/>
              <w:adjustRightInd w:val="0"/>
              <w:ind w:firstLine="205" w:firstLineChars="98"/>
              <w:jc w:val="left"/>
              <w:rPr>
                <w:rFonts w:ascii="宋体" w:hAnsi="宋体" w:cs="宋体"/>
                <w:color w:val="000000"/>
                <w:kern w:val="0"/>
                <w:szCs w:val="21"/>
              </w:rPr>
            </w:pPr>
            <w:r>
              <w:rPr>
                <w:rFonts w:hint="eastAsia" w:ascii="宋体" w:hAnsi="宋体" w:cs="宋体"/>
                <w:szCs w:val="21"/>
              </w:rPr>
              <w:t>□</w:t>
            </w:r>
            <w:r>
              <w:rPr>
                <w:rFonts w:ascii="宋体" w:hAnsi="宋体" w:cs="宋体"/>
                <w:color w:val="000000"/>
                <w:kern w:val="0"/>
                <w:szCs w:val="21"/>
              </w:rPr>
              <w:t>装订成一册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20.2</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响应文件密封要求</w:t>
            </w:r>
          </w:p>
        </w:tc>
        <w:tc>
          <w:tcPr>
            <w:tcW w:w="7063" w:type="dxa"/>
            <w:vAlign w:val="center"/>
          </w:tcPr>
          <w:p>
            <w:pPr>
              <w:autoSpaceDE w:val="0"/>
              <w:autoSpaceDN w:val="0"/>
              <w:adjustRightInd w:val="0"/>
              <w:jc w:val="left"/>
              <w:rPr>
                <w:rFonts w:ascii="宋体" w:hAnsi="宋体" w:cs="宋体"/>
                <w:color w:val="000000"/>
                <w:kern w:val="0"/>
                <w:szCs w:val="21"/>
              </w:rPr>
            </w:pPr>
            <w:r>
              <w:rPr>
                <w:rFonts w:ascii="宋体" w:hAnsi="宋体" w:cs="宋体"/>
                <w:color w:val="000000"/>
                <w:kern w:val="0"/>
                <w:szCs w:val="21"/>
              </w:rPr>
              <w:t>响应文件</w:t>
            </w:r>
            <w:r>
              <w:rPr>
                <w:rFonts w:hint="eastAsia" w:ascii="宋体" w:hAnsi="宋体" w:cs="宋体"/>
                <w:color w:val="000000"/>
                <w:kern w:val="0"/>
                <w:szCs w:val="21"/>
              </w:rPr>
              <w:t>应密封完好，封口处及骑缝处加盖供应商公章。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20.3</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响应文件封装的封面标记要求</w:t>
            </w:r>
          </w:p>
        </w:tc>
        <w:tc>
          <w:tcPr>
            <w:tcW w:w="7063" w:type="dxa"/>
            <w:vAlign w:val="center"/>
          </w:tcPr>
          <w:p>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（项目名称）</w:t>
            </w:r>
          </w:p>
          <w:p>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响应文件在</w:t>
            </w:r>
            <w:r>
              <w:rPr>
                <w:rFonts w:ascii="宋体" w:hAnsi="宋体" w:cs="宋体"/>
                <w:color w:val="000000"/>
                <w:kern w:val="0"/>
                <w:szCs w:val="21"/>
              </w:rPr>
              <w:t xml:space="preserve"> </w:t>
            </w:r>
            <w:r>
              <w:rPr>
                <w:rFonts w:hint="eastAsia" w:ascii="宋体" w:hAnsi="宋体" w:cs="宋体"/>
                <w:color w:val="000000"/>
                <w:kern w:val="0"/>
                <w:szCs w:val="21"/>
              </w:rPr>
              <w:t xml:space="preserve">   年  </w:t>
            </w:r>
            <w:r>
              <w:rPr>
                <w:rFonts w:ascii="宋体" w:hAnsi="宋体" w:cs="宋体"/>
                <w:color w:val="000000"/>
                <w:kern w:val="0"/>
                <w:szCs w:val="21"/>
              </w:rPr>
              <w:t xml:space="preserve"> </w:t>
            </w:r>
            <w:r>
              <w:rPr>
                <w:rFonts w:hint="eastAsia" w:ascii="宋体" w:hAnsi="宋体" w:cs="宋体"/>
                <w:color w:val="000000"/>
                <w:kern w:val="0"/>
                <w:szCs w:val="21"/>
              </w:rPr>
              <w:t xml:space="preserve">月 </w:t>
            </w:r>
            <w:r>
              <w:rPr>
                <w:rFonts w:ascii="宋体" w:hAnsi="宋体" w:cs="宋体"/>
                <w:color w:val="000000"/>
                <w:kern w:val="0"/>
                <w:szCs w:val="21"/>
              </w:rPr>
              <w:t xml:space="preserve"> </w:t>
            </w:r>
            <w:r>
              <w:rPr>
                <w:rFonts w:hint="eastAsia" w:ascii="宋体" w:hAnsi="宋体" w:cs="宋体"/>
                <w:color w:val="000000"/>
                <w:kern w:val="0"/>
                <w:szCs w:val="21"/>
              </w:rPr>
              <w:t xml:space="preserve">日 </w:t>
            </w:r>
            <w:r>
              <w:rPr>
                <w:rFonts w:ascii="宋体" w:hAnsi="宋体" w:cs="宋体"/>
                <w:color w:val="000000"/>
                <w:kern w:val="0"/>
                <w:szCs w:val="21"/>
              </w:rPr>
              <w:t xml:space="preserve"> </w:t>
            </w:r>
            <w:r>
              <w:rPr>
                <w:rFonts w:hint="eastAsia" w:ascii="宋体" w:hAnsi="宋体" w:cs="宋体"/>
                <w:color w:val="000000"/>
                <w:kern w:val="0"/>
                <w:szCs w:val="21"/>
              </w:rPr>
              <w:t xml:space="preserve">时 </w:t>
            </w:r>
            <w:r>
              <w:rPr>
                <w:rFonts w:ascii="宋体" w:hAnsi="宋体" w:cs="宋体"/>
                <w:color w:val="000000"/>
                <w:kern w:val="0"/>
                <w:szCs w:val="21"/>
              </w:rPr>
              <w:t xml:space="preserve"> </w:t>
            </w:r>
            <w:r>
              <w:rPr>
                <w:rFonts w:hint="eastAsia" w:ascii="宋体" w:hAnsi="宋体" w:cs="宋体"/>
                <w:color w:val="000000"/>
                <w:kern w:val="0"/>
                <w:szCs w:val="21"/>
              </w:rPr>
              <w:t>分前不得开启。</w:t>
            </w:r>
          </w:p>
          <w:p>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供应商名称（公章）：</w:t>
            </w:r>
          </w:p>
          <w:p>
            <w:pPr>
              <w:autoSpaceDE w:val="0"/>
              <w:autoSpaceDN w:val="0"/>
              <w:adjustRightInd w:val="0"/>
              <w:jc w:val="left"/>
              <w:rPr>
                <w:rFonts w:ascii="宋体" w:cs="宋体"/>
              </w:rPr>
            </w:pPr>
            <w:r>
              <w:rPr>
                <w:rFonts w:hint="eastAsia" w:ascii="宋体" w:hAnsi="宋体" w:cs="宋体"/>
                <w:color w:val="000000"/>
                <w:kern w:val="0"/>
                <w:szCs w:val="21"/>
              </w:rPr>
              <w:t>供应商地址：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21.1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响应文件提交截止时间、地点</w:t>
            </w:r>
          </w:p>
        </w:tc>
        <w:tc>
          <w:tcPr>
            <w:tcW w:w="7063" w:type="dxa"/>
            <w:vAlign w:val="center"/>
          </w:tcPr>
          <w:p>
            <w:pPr>
              <w:spacing w:line="300" w:lineRule="exact"/>
              <w:rPr>
                <w:rFonts w:ascii="宋体" w:hAnsi="宋体" w:cs="宋体"/>
                <w:szCs w:val="21"/>
              </w:rPr>
            </w:pPr>
            <w:r>
              <w:rPr>
                <w:rFonts w:hint="eastAsia" w:ascii="宋体" w:hAnsi="宋体" w:cs="宋体"/>
                <w:szCs w:val="21"/>
              </w:rPr>
              <w:t>详见第一章《采购邀请》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24.1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谈判时间、地点</w:t>
            </w:r>
          </w:p>
        </w:tc>
        <w:tc>
          <w:tcPr>
            <w:tcW w:w="7063" w:type="dxa"/>
            <w:vAlign w:val="center"/>
          </w:tcPr>
          <w:p>
            <w:pPr>
              <w:spacing w:line="300" w:lineRule="exact"/>
              <w:rPr>
                <w:rFonts w:ascii="宋体" w:hAnsi="宋体" w:cs="宋体"/>
                <w:szCs w:val="21"/>
              </w:rPr>
            </w:pPr>
            <w:r>
              <w:rPr>
                <w:rFonts w:hint="eastAsia" w:ascii="宋体" w:hAnsi="宋体" w:cs="宋体"/>
                <w:szCs w:val="21"/>
              </w:rPr>
              <w:t>详见第一章《采购邀请》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11" w:type="dxa"/>
            <w:vAlign w:val="center"/>
          </w:tcPr>
          <w:p>
            <w:pPr>
              <w:spacing w:line="320" w:lineRule="exact"/>
              <w:jc w:val="center"/>
              <w:rPr>
                <w:rFonts w:ascii="宋体" w:hAnsi="宋体"/>
                <w:szCs w:val="21"/>
              </w:rPr>
            </w:pPr>
            <w:r>
              <w:rPr>
                <w:rFonts w:hint="eastAsia" w:ascii="宋体" w:hAnsi="宋体"/>
                <w:szCs w:val="21"/>
              </w:rPr>
              <w:t>25.1</w:t>
            </w:r>
          </w:p>
        </w:tc>
        <w:tc>
          <w:tcPr>
            <w:tcW w:w="1954" w:type="dxa"/>
            <w:gridSpan w:val="2"/>
            <w:vAlign w:val="center"/>
          </w:tcPr>
          <w:p>
            <w:pPr>
              <w:spacing w:line="320" w:lineRule="exact"/>
              <w:jc w:val="center"/>
              <w:rPr>
                <w:rFonts w:ascii="宋体" w:hAnsi="宋体"/>
                <w:szCs w:val="21"/>
              </w:rPr>
            </w:pPr>
            <w:r>
              <w:rPr>
                <w:rFonts w:hint="eastAsia" w:ascii="宋体" w:hAnsi="宋体"/>
                <w:szCs w:val="21"/>
              </w:rPr>
              <w:t>谈判小组组成</w:t>
            </w:r>
          </w:p>
        </w:tc>
        <w:tc>
          <w:tcPr>
            <w:tcW w:w="7063" w:type="dxa"/>
            <w:vAlign w:val="center"/>
          </w:tcPr>
          <w:p>
            <w:pPr>
              <w:spacing w:line="300" w:lineRule="exact"/>
              <w:jc w:val="left"/>
              <w:rPr>
                <w:rFonts w:ascii="宋体" w:hAnsi="宋体" w:cs="Arial"/>
                <w:kern w:val="0"/>
                <w:szCs w:val="21"/>
              </w:rPr>
            </w:pPr>
            <w:r>
              <w:rPr>
                <w:rFonts w:hint="eastAsia" w:ascii="宋体" w:hAnsi="宋体"/>
                <w:szCs w:val="21"/>
              </w:rPr>
              <w:t>谈判小组</w:t>
            </w:r>
            <w:r>
              <w:rPr>
                <w:rFonts w:hint="eastAsia" w:ascii="宋体" w:hAnsi="宋体" w:cs="宋体"/>
                <w:snapToGrid w:val="0"/>
                <w:kern w:val="0"/>
                <w:szCs w:val="21"/>
              </w:rPr>
              <w:t>3人或3人以上单数(含采购人代表0人或1人)组成，外聘经济及技术专家在专家库中随机抽取。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1" w:type="dxa"/>
            <w:vAlign w:val="center"/>
          </w:tcPr>
          <w:p>
            <w:pPr>
              <w:spacing w:line="320" w:lineRule="exact"/>
              <w:jc w:val="center"/>
              <w:rPr>
                <w:rFonts w:ascii="宋体" w:hAnsi="宋体"/>
                <w:szCs w:val="21"/>
              </w:rPr>
            </w:pPr>
            <w:r>
              <w:rPr>
                <w:rFonts w:hint="eastAsia" w:ascii="宋体" w:hAnsi="宋体"/>
                <w:szCs w:val="21"/>
              </w:rPr>
              <w:t>26.7.3</w:t>
            </w:r>
          </w:p>
        </w:tc>
        <w:tc>
          <w:tcPr>
            <w:tcW w:w="1954" w:type="dxa"/>
            <w:gridSpan w:val="2"/>
            <w:vAlign w:val="center"/>
          </w:tcPr>
          <w:p>
            <w:pPr>
              <w:spacing w:line="320" w:lineRule="exact"/>
              <w:jc w:val="center"/>
              <w:rPr>
                <w:rFonts w:ascii="宋体" w:hAnsi="宋体"/>
                <w:szCs w:val="21"/>
              </w:rPr>
            </w:pPr>
            <w:r>
              <w:rPr>
                <w:rFonts w:hint="eastAsia" w:ascii="宋体" w:hAnsi="宋体"/>
                <w:szCs w:val="21"/>
              </w:rPr>
              <w:t>确定提交最后报价供应商的方式</w:t>
            </w:r>
          </w:p>
        </w:tc>
        <w:tc>
          <w:tcPr>
            <w:tcW w:w="7063" w:type="dxa"/>
            <w:vAlign w:val="center"/>
          </w:tcPr>
          <w:p>
            <w:pPr>
              <w:pStyle w:val="15"/>
              <w:rPr>
                <w:sz w:val="21"/>
                <w:szCs w:val="21"/>
              </w:rPr>
            </w:pPr>
            <w:r>
              <w:rPr>
                <w:rFonts w:hAnsi="宋体"/>
                <w:b/>
                <w:szCs w:val="21"/>
              </w:rPr>
              <w:fldChar w:fldCharType="begin"/>
            </w:r>
            <w:r>
              <w:rPr>
                <w:rFonts w:hAnsi="宋体"/>
                <w:b/>
                <w:szCs w:val="21"/>
              </w:rPr>
              <w:instrText xml:space="preserve"> </w:instrText>
            </w:r>
            <w:r>
              <w:rPr>
                <w:rFonts w:hint="eastAsia" w:hAnsi="宋体"/>
                <w:b/>
                <w:szCs w:val="21"/>
              </w:rPr>
              <w:instrText xml:space="preserve">eq \o\ac(□,</w:instrText>
            </w:r>
            <w:r>
              <w:rPr>
                <w:rFonts w:hint="eastAsia" w:hAnsi="宋体"/>
                <w:b/>
                <w:position w:val="2"/>
                <w:szCs w:val="21"/>
              </w:rPr>
              <w:instrText xml:space="preserve">√</w:instrText>
            </w:r>
            <w:r>
              <w:rPr>
                <w:rFonts w:hint="eastAsia" w:hAnsi="宋体"/>
                <w:b/>
                <w:szCs w:val="21"/>
              </w:rPr>
              <w:instrText xml:space="preserve">)</w:instrText>
            </w:r>
            <w:r>
              <w:rPr>
                <w:rFonts w:hAnsi="宋体"/>
                <w:b/>
                <w:szCs w:val="21"/>
              </w:rPr>
              <w:fldChar w:fldCharType="end"/>
            </w:r>
            <w:r>
              <w:rPr>
                <w:rFonts w:hint="eastAsia"/>
                <w:sz w:val="21"/>
                <w:szCs w:val="21"/>
              </w:rPr>
              <w:t>按照第1种情形规定确定提交最后报价供应商</w:t>
            </w:r>
            <w:r>
              <w:rPr>
                <w:sz w:val="21"/>
                <w:szCs w:val="21"/>
              </w:rPr>
              <w:t xml:space="preserve"> </w:t>
            </w:r>
          </w:p>
          <w:p>
            <w:pPr>
              <w:pStyle w:val="15"/>
            </w:pPr>
            <w:r>
              <w:rPr>
                <w:rFonts w:hint="eastAsia"/>
                <w:sz w:val="21"/>
                <w:szCs w:val="21"/>
              </w:rPr>
              <w:t>□按照第2种情形规定确定提交最后报价供应商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szCs w:val="21"/>
              </w:rPr>
              <w:t>26.7.7</w:t>
            </w:r>
          </w:p>
        </w:tc>
        <w:tc>
          <w:tcPr>
            <w:tcW w:w="1954" w:type="dxa"/>
            <w:gridSpan w:val="2"/>
            <w:vAlign w:val="center"/>
          </w:tcPr>
          <w:p>
            <w:pPr>
              <w:spacing w:line="320" w:lineRule="exact"/>
              <w:jc w:val="center"/>
              <w:rPr>
                <w:rFonts w:ascii="宋体" w:hAnsi="宋体"/>
                <w:szCs w:val="21"/>
              </w:rPr>
            </w:pPr>
            <w:r>
              <w:rPr>
                <w:rFonts w:hint="eastAsia" w:ascii="宋体" w:hAnsi="宋体"/>
                <w:szCs w:val="21"/>
              </w:rPr>
              <w:t>成交候选供应商数量</w:t>
            </w:r>
          </w:p>
        </w:tc>
        <w:tc>
          <w:tcPr>
            <w:tcW w:w="7063" w:type="dxa"/>
            <w:vAlign w:val="center"/>
          </w:tcPr>
          <w:p>
            <w:pPr>
              <w:pStyle w:val="6"/>
              <w:rPr>
                <w:rFonts w:ascii="宋体" w:hAnsi="宋体"/>
                <w:szCs w:val="21"/>
              </w:rPr>
            </w:pPr>
            <w:r>
              <w:rPr>
                <w:rFonts w:hint="eastAsia" w:ascii="宋体" w:hAnsi="宋体"/>
                <w:szCs w:val="21"/>
              </w:rPr>
              <w:t>由谈判小组推荐3名</w:t>
            </w:r>
            <w:r>
              <w:rPr>
                <w:rFonts w:hint="eastAsia"/>
              </w:rPr>
              <w:t>三名成交候选供应商</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011" w:type="dxa"/>
            <w:vAlign w:val="center"/>
          </w:tcPr>
          <w:p>
            <w:pPr>
              <w:spacing w:line="320" w:lineRule="exact"/>
              <w:jc w:val="center"/>
              <w:rPr>
                <w:rFonts w:ascii="宋体" w:hAnsi="宋体"/>
                <w:szCs w:val="21"/>
              </w:rPr>
            </w:pPr>
            <w:r>
              <w:rPr>
                <w:rFonts w:hint="eastAsia" w:ascii="宋体" w:hAnsi="宋体"/>
                <w:szCs w:val="21"/>
              </w:rPr>
              <w:t>27.1</w:t>
            </w:r>
          </w:p>
        </w:tc>
        <w:tc>
          <w:tcPr>
            <w:tcW w:w="1954" w:type="dxa"/>
            <w:gridSpan w:val="2"/>
            <w:vAlign w:val="center"/>
          </w:tcPr>
          <w:p>
            <w:pPr>
              <w:spacing w:line="320" w:lineRule="exact"/>
              <w:jc w:val="center"/>
              <w:rPr>
                <w:rFonts w:ascii="宋体" w:hAnsi="宋体"/>
                <w:szCs w:val="21"/>
              </w:rPr>
            </w:pPr>
            <w:r>
              <w:rPr>
                <w:rFonts w:hint="eastAsia" w:ascii="宋体" w:hAnsi="宋体"/>
                <w:szCs w:val="21"/>
              </w:rPr>
              <w:t>成交供应商确定原则</w:t>
            </w:r>
          </w:p>
        </w:tc>
        <w:tc>
          <w:tcPr>
            <w:tcW w:w="7063" w:type="dxa"/>
            <w:vAlign w:val="center"/>
          </w:tcPr>
          <w:p>
            <w:pPr>
              <w:autoSpaceDE w:val="0"/>
              <w:autoSpaceDN w:val="0"/>
              <w:adjustRightInd w:val="0"/>
              <w:spacing w:line="300" w:lineRule="exact"/>
              <w:jc w:val="left"/>
              <w:rPr>
                <w:rFonts w:ascii="宋体" w:hAnsi="宋体"/>
                <w:szCs w:val="21"/>
              </w:rPr>
            </w:pPr>
            <w:r>
              <w:rPr>
                <w:rFonts w:hint="eastAsia" w:ascii="宋体" w:hAnsi="宋体"/>
                <w:szCs w:val="21"/>
              </w:rPr>
              <w:t>采购人从评审报告提出的成交候选供应商，按照排序由高到底的原则确定成交供应商</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1" w:type="dxa"/>
            <w:vAlign w:val="center"/>
          </w:tcPr>
          <w:p>
            <w:pPr>
              <w:spacing w:line="320" w:lineRule="exact"/>
              <w:jc w:val="center"/>
              <w:rPr>
                <w:rFonts w:ascii="宋体" w:hAnsi="宋体"/>
                <w:szCs w:val="21"/>
              </w:rPr>
            </w:pPr>
            <w:r>
              <w:rPr>
                <w:rFonts w:hint="eastAsia" w:ascii="宋体" w:hAnsi="宋体"/>
                <w:szCs w:val="21"/>
              </w:rPr>
              <w:t>28.1</w:t>
            </w:r>
          </w:p>
        </w:tc>
        <w:tc>
          <w:tcPr>
            <w:tcW w:w="1954" w:type="dxa"/>
            <w:gridSpan w:val="2"/>
            <w:vAlign w:val="center"/>
          </w:tcPr>
          <w:p>
            <w:pPr>
              <w:spacing w:line="320" w:lineRule="exact"/>
              <w:jc w:val="center"/>
              <w:rPr>
                <w:rFonts w:ascii="宋体" w:hAnsi="宋体" w:cs="Arial"/>
                <w:kern w:val="0"/>
                <w:szCs w:val="21"/>
              </w:rPr>
            </w:pPr>
            <w:r>
              <w:rPr>
                <w:rFonts w:hint="eastAsia" w:ascii="宋体" w:hAnsi="宋体" w:cs="Arial"/>
                <w:kern w:val="0"/>
                <w:szCs w:val="21"/>
              </w:rPr>
              <w:t>信息公告媒体</w:t>
            </w:r>
          </w:p>
        </w:tc>
        <w:tc>
          <w:tcPr>
            <w:tcW w:w="7063" w:type="dxa"/>
            <w:vAlign w:val="center"/>
          </w:tcPr>
          <w:p>
            <w:pPr>
              <w:spacing w:line="300" w:lineRule="exact"/>
              <w:jc w:val="left"/>
              <w:rPr>
                <w:rFonts w:ascii="宋体" w:hAnsi="宋体" w:cs="宋体"/>
                <w:szCs w:val="21"/>
              </w:rPr>
            </w:pPr>
            <w:r>
              <w:rPr>
                <w:rFonts w:hint="eastAsia" w:ascii="宋体" w:hAnsi="宋体" w:cs="宋体"/>
                <w:szCs w:val="21"/>
                <w:lang w:val="zh-CN"/>
              </w:rPr>
              <w:t>黄石市中心医院</w:t>
            </w:r>
            <w:r>
              <w:rPr>
                <w:rFonts w:hint="eastAsia" w:ascii="宋体" w:hAnsi="宋体" w:cs="宋体"/>
                <w:szCs w:val="21"/>
              </w:rPr>
              <w:t>官网（http://www.edonghealthcare.com/）</w:t>
            </w:r>
          </w:p>
          <w:p>
            <w:pPr>
              <w:spacing w:line="300" w:lineRule="exact"/>
              <w:rPr>
                <w:rFonts w:ascii="宋体" w:hAnsi="宋体" w:cs="宋体"/>
                <w:szCs w:val="21"/>
              </w:rPr>
            </w:pPr>
            <w:r>
              <w:rPr>
                <w:rFonts w:ascii="宋体" w:hAnsi="宋体" w:cs="宋体"/>
                <w:szCs w:val="21"/>
              </w:rPr>
              <w:t>□</w:t>
            </w:r>
            <w:r>
              <w:rPr>
                <w:rFonts w:hint="eastAsia" w:ascii="宋体" w:hAnsi="宋体" w:cs="宋体"/>
                <w:szCs w:val="21"/>
              </w:rPr>
              <w:t>其他媒体：</w:t>
            </w:r>
          </w:p>
          <w:p>
            <w:pPr>
              <w:spacing w:line="300" w:lineRule="exact"/>
              <w:rPr>
                <w:rFonts w:ascii="宋体" w:hAnsi="宋体" w:cs="Arial"/>
                <w:kern w:val="0"/>
                <w:szCs w:val="21"/>
                <w:u w:val="single"/>
              </w:rPr>
            </w:pPr>
            <w:r>
              <w:rPr>
                <w:rFonts w:hint="eastAsia" w:ascii="宋体" w:hAnsi="宋体" w:cs="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szCs w:val="21"/>
              </w:rPr>
              <w:t>29.3</w:t>
            </w:r>
          </w:p>
        </w:tc>
        <w:tc>
          <w:tcPr>
            <w:tcW w:w="1954" w:type="dxa"/>
            <w:gridSpan w:val="2"/>
            <w:vAlign w:val="center"/>
          </w:tcPr>
          <w:p>
            <w:pPr>
              <w:pStyle w:val="14"/>
              <w:jc w:val="center"/>
              <w:rPr>
                <w:rFonts w:ascii="宋体" w:hAnsi="宋体" w:cs="宋体"/>
                <w:sz w:val="21"/>
                <w:szCs w:val="21"/>
              </w:rPr>
            </w:pPr>
            <w:r>
              <w:rPr>
                <w:rFonts w:hint="eastAsia" w:ascii="宋体" w:hAnsi="宋体" w:cs="宋体"/>
                <w:sz w:val="21"/>
                <w:szCs w:val="21"/>
                <w:lang w:eastAsia="zh-CN"/>
              </w:rPr>
              <w:t>成交后</w:t>
            </w:r>
            <w:r>
              <w:rPr>
                <w:rFonts w:ascii="宋体" w:hAnsi="宋体" w:cs="宋体"/>
                <w:sz w:val="21"/>
                <w:szCs w:val="21"/>
              </w:rPr>
              <w:t>分包</w:t>
            </w:r>
          </w:p>
        </w:tc>
        <w:tc>
          <w:tcPr>
            <w:tcW w:w="7063" w:type="dxa"/>
          </w:tcPr>
          <w:p>
            <w:pPr>
              <w:pStyle w:val="14"/>
              <w:spacing w:line="297" w:lineRule="exact"/>
              <w:ind w:left="122"/>
              <w:rPr>
                <w:rFonts w:ascii="宋体" w:hAnsi="宋体" w:cs="宋体"/>
                <w:sz w:val="21"/>
                <w:szCs w:val="21"/>
                <w:lang w:eastAsia="zh-CN"/>
              </w:rPr>
            </w:pPr>
            <w:r>
              <w:rPr>
                <w:rFonts w:ascii="宋体" w:hAnsi="宋体"/>
                <w:b/>
                <w:szCs w:val="21"/>
              </w:rPr>
              <w:fldChar w:fldCharType="begin"/>
            </w:r>
            <w:r>
              <w:rPr>
                <w:rFonts w:ascii="宋体" w:hAnsi="宋体"/>
                <w:b/>
                <w:szCs w:val="21"/>
                <w:lang w:eastAsia="zh-CN"/>
              </w:rPr>
              <w:instrText xml:space="preserve"> </w:instrText>
            </w:r>
            <w:r>
              <w:rPr>
                <w:rFonts w:hint="eastAsia" w:ascii="宋体" w:hAnsi="宋体"/>
                <w:b/>
                <w:szCs w:val="21"/>
                <w:lang w:eastAsia="zh-CN"/>
              </w:rPr>
              <w:instrText xml:space="preserve">eq \o\ac(□,</w:instrText>
            </w:r>
            <w:r>
              <w:rPr>
                <w:rFonts w:hint="eastAsia" w:ascii="宋体" w:hAnsi="宋体"/>
                <w:b/>
                <w:position w:val="2"/>
                <w:szCs w:val="21"/>
                <w:lang w:eastAsia="zh-CN"/>
              </w:rPr>
              <w:instrText xml:space="preserve">√</w:instrText>
            </w:r>
            <w:r>
              <w:rPr>
                <w:rFonts w:hint="eastAsia" w:ascii="宋体" w:hAnsi="宋体"/>
                <w:b/>
                <w:szCs w:val="21"/>
                <w:lang w:eastAsia="zh-CN"/>
              </w:rPr>
              <w:instrText xml:space="preserve">)</w:instrText>
            </w:r>
            <w:r>
              <w:rPr>
                <w:rFonts w:ascii="宋体" w:hAnsi="宋体"/>
                <w:b/>
                <w:szCs w:val="21"/>
              </w:rPr>
              <w:fldChar w:fldCharType="end"/>
            </w:r>
            <w:r>
              <w:rPr>
                <w:rFonts w:ascii="宋体" w:hAnsi="宋体" w:cs="宋体"/>
                <w:sz w:val="21"/>
                <w:szCs w:val="21"/>
                <w:lang w:eastAsia="zh-CN"/>
              </w:rPr>
              <w:t>不</w:t>
            </w:r>
            <w:r>
              <w:rPr>
                <w:rFonts w:ascii="宋体" w:hAnsi="宋体" w:cs="宋体"/>
                <w:spacing w:val="-3"/>
                <w:sz w:val="21"/>
                <w:szCs w:val="21"/>
                <w:lang w:eastAsia="zh-CN"/>
              </w:rPr>
              <w:t>允</w:t>
            </w:r>
            <w:r>
              <w:rPr>
                <w:rFonts w:ascii="宋体" w:hAnsi="宋体" w:cs="宋体"/>
                <w:sz w:val="21"/>
                <w:szCs w:val="21"/>
                <w:lang w:eastAsia="zh-CN"/>
              </w:rPr>
              <w:t>许</w:t>
            </w:r>
          </w:p>
          <w:p>
            <w:pPr>
              <w:pStyle w:val="14"/>
              <w:tabs>
                <w:tab w:val="left" w:pos="3682"/>
              </w:tabs>
              <w:spacing w:before="31" w:line="264" w:lineRule="auto"/>
              <w:ind w:left="955" w:right="2012" w:hanging="843"/>
              <w:rPr>
                <w:rFonts w:ascii="宋体" w:hAnsi="宋体" w:cs="宋体"/>
                <w:sz w:val="21"/>
                <w:szCs w:val="21"/>
                <w:lang w:eastAsia="zh-CN"/>
              </w:rPr>
            </w:pPr>
            <w:r>
              <w:rPr>
                <w:rFonts w:ascii="宋体" w:hAnsi="宋体" w:cs="宋体"/>
                <w:sz w:val="21"/>
                <w:szCs w:val="21"/>
                <w:lang w:eastAsia="zh-CN"/>
              </w:rPr>
              <w:t>□允</w:t>
            </w:r>
            <w:r>
              <w:rPr>
                <w:rFonts w:ascii="宋体" w:hAnsi="宋体" w:cs="宋体"/>
                <w:spacing w:val="-3"/>
                <w:sz w:val="21"/>
                <w:szCs w:val="21"/>
                <w:lang w:eastAsia="zh-CN"/>
              </w:rPr>
              <w:t>许</w:t>
            </w:r>
            <w:r>
              <w:rPr>
                <w:rFonts w:ascii="宋体" w:hAnsi="宋体" w:cs="宋体"/>
                <w:sz w:val="21"/>
                <w:szCs w:val="21"/>
                <w:lang w:eastAsia="zh-CN"/>
              </w:rPr>
              <w:t>，</w:t>
            </w:r>
          </w:p>
          <w:p>
            <w:pPr>
              <w:pStyle w:val="14"/>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内</w:t>
            </w:r>
            <w:r>
              <w:rPr>
                <w:rFonts w:ascii="宋体" w:hAnsi="宋体" w:cs="宋体"/>
                <w:sz w:val="21"/>
                <w:szCs w:val="21"/>
                <w:lang w:eastAsia="zh-CN"/>
              </w:rPr>
              <w:t>容</w:t>
            </w:r>
            <w:r>
              <w:rPr>
                <w:rFonts w:ascii="宋体" w:hAnsi="宋体" w:cs="宋体"/>
                <w:spacing w:val="-3"/>
                <w:sz w:val="21"/>
                <w:szCs w:val="21"/>
                <w:lang w:eastAsia="zh-CN"/>
              </w:rPr>
              <w:t>要</w:t>
            </w:r>
            <w:r>
              <w:rPr>
                <w:rFonts w:ascii="宋体" w:hAnsi="宋体" w:cs="宋体"/>
                <w:sz w:val="21"/>
                <w:szCs w:val="21"/>
                <w:lang w:eastAsia="zh-CN"/>
              </w:rPr>
              <w:t>求</w:t>
            </w:r>
            <w:r>
              <w:rPr>
                <w:rFonts w:ascii="宋体" w:hAnsi="宋体" w:cs="宋体"/>
                <w:spacing w:val="-3"/>
                <w:sz w:val="21"/>
                <w:szCs w:val="21"/>
                <w:lang w:eastAsia="zh-CN"/>
              </w:rPr>
              <w:t>：</w:t>
            </w:r>
            <w:r>
              <w:rPr>
                <w:rFonts w:ascii="宋体" w:hAnsi="宋体" w:cs="宋体"/>
                <w:sz w:val="21"/>
                <w:szCs w:val="21"/>
                <w:u w:val="single" w:color="000000"/>
                <w:lang w:eastAsia="zh-CN"/>
              </w:rPr>
              <w:t xml:space="preserve"> </w:t>
            </w:r>
            <w:r>
              <w:rPr>
                <w:rFonts w:ascii="宋体" w:hAnsi="宋体" w:cs="宋体"/>
                <w:sz w:val="21"/>
                <w:szCs w:val="21"/>
                <w:u w:val="single" w:color="000000"/>
                <w:lang w:eastAsia="zh-CN"/>
              </w:rPr>
              <w:tab/>
            </w:r>
            <w:r>
              <w:rPr>
                <w:rFonts w:ascii="宋体" w:hAnsi="宋体" w:cs="宋体"/>
                <w:sz w:val="21"/>
                <w:szCs w:val="21"/>
                <w:lang w:eastAsia="zh-CN"/>
              </w:rPr>
              <w:t xml:space="preserve"> </w:t>
            </w:r>
          </w:p>
          <w:p>
            <w:pPr>
              <w:pStyle w:val="14"/>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金</w:t>
            </w:r>
            <w:r>
              <w:rPr>
                <w:rFonts w:ascii="宋体" w:hAnsi="宋体" w:cs="宋体"/>
                <w:sz w:val="21"/>
                <w:szCs w:val="21"/>
                <w:lang w:eastAsia="zh-CN"/>
              </w:rPr>
              <w:t>额</w:t>
            </w:r>
            <w:r>
              <w:rPr>
                <w:rFonts w:ascii="宋体" w:hAnsi="宋体" w:cs="宋体"/>
                <w:spacing w:val="-3"/>
                <w:sz w:val="21"/>
                <w:szCs w:val="21"/>
                <w:lang w:eastAsia="zh-CN"/>
              </w:rPr>
              <w:t>要</w:t>
            </w:r>
            <w:r>
              <w:rPr>
                <w:rFonts w:ascii="宋体" w:hAnsi="宋体" w:cs="宋体"/>
                <w:sz w:val="21"/>
                <w:szCs w:val="21"/>
                <w:lang w:eastAsia="zh-CN"/>
              </w:rPr>
              <w:t>求：</w:t>
            </w:r>
          </w:p>
          <w:p>
            <w:pPr>
              <w:pStyle w:val="14"/>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人</w:t>
            </w:r>
            <w:r>
              <w:rPr>
                <w:rFonts w:ascii="宋体" w:hAnsi="宋体" w:cs="宋体"/>
                <w:sz w:val="21"/>
                <w:szCs w:val="21"/>
                <w:lang w:eastAsia="zh-CN"/>
              </w:rPr>
              <w:t>资</w:t>
            </w:r>
            <w:r>
              <w:rPr>
                <w:rFonts w:ascii="宋体" w:hAnsi="宋体" w:cs="宋体"/>
                <w:spacing w:val="-3"/>
                <w:sz w:val="21"/>
                <w:szCs w:val="21"/>
                <w:lang w:eastAsia="zh-CN"/>
              </w:rPr>
              <w:t>质</w:t>
            </w:r>
            <w:r>
              <w:rPr>
                <w:rFonts w:ascii="宋体" w:hAnsi="宋体" w:cs="宋体"/>
                <w:sz w:val="21"/>
                <w:szCs w:val="21"/>
                <w:lang w:eastAsia="zh-CN"/>
              </w:rPr>
              <w:t>要</w:t>
            </w:r>
            <w:r>
              <w:rPr>
                <w:rFonts w:ascii="宋体" w:hAnsi="宋体" w:cs="宋体"/>
                <w:spacing w:val="-3"/>
                <w:sz w:val="21"/>
                <w:szCs w:val="21"/>
                <w:lang w:eastAsia="zh-CN"/>
              </w:rPr>
              <w:t>求</w:t>
            </w:r>
            <w:r>
              <w:rPr>
                <w:rFonts w:ascii="宋体" w:hAnsi="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0" w:hRule="atLeast"/>
        </w:trPr>
        <w:tc>
          <w:tcPr>
            <w:tcW w:w="1011" w:type="dxa"/>
            <w:vMerge w:val="restart"/>
            <w:vAlign w:val="center"/>
          </w:tcPr>
          <w:p>
            <w:pPr>
              <w:spacing w:line="320" w:lineRule="exact"/>
              <w:jc w:val="center"/>
              <w:rPr>
                <w:rFonts w:ascii="宋体" w:hAnsi="宋体"/>
                <w:szCs w:val="21"/>
              </w:rPr>
            </w:pPr>
            <w:r>
              <w:rPr>
                <w:rFonts w:hint="eastAsia" w:ascii="宋体" w:hAnsi="宋体"/>
                <w:szCs w:val="21"/>
              </w:rPr>
              <w:t>38</w:t>
            </w:r>
          </w:p>
        </w:tc>
        <w:tc>
          <w:tcPr>
            <w:tcW w:w="1101" w:type="dxa"/>
            <w:vMerge w:val="restart"/>
            <w:vAlign w:val="center"/>
          </w:tcPr>
          <w:p>
            <w:pPr>
              <w:spacing w:line="320" w:lineRule="exact"/>
              <w:jc w:val="center"/>
              <w:rPr>
                <w:rFonts w:ascii="宋体" w:hAnsi="宋体"/>
                <w:szCs w:val="21"/>
              </w:rPr>
            </w:pPr>
            <w:r>
              <w:rPr>
                <w:rFonts w:hint="eastAsia" w:ascii="宋体" w:hAnsi="宋体"/>
                <w:szCs w:val="21"/>
              </w:rPr>
              <w:t>供应商所提供材料的要求</w:t>
            </w:r>
          </w:p>
        </w:tc>
        <w:tc>
          <w:tcPr>
            <w:tcW w:w="853" w:type="dxa"/>
            <w:vAlign w:val="center"/>
          </w:tcPr>
          <w:p>
            <w:pPr>
              <w:spacing w:line="320" w:lineRule="exact"/>
              <w:jc w:val="center"/>
              <w:rPr>
                <w:rFonts w:ascii="宋体" w:hAnsi="宋体"/>
                <w:szCs w:val="21"/>
              </w:rPr>
            </w:pPr>
            <w:r>
              <w:rPr>
                <w:rFonts w:hint="eastAsia" w:ascii="宋体" w:hAnsi="宋体"/>
                <w:szCs w:val="21"/>
              </w:rPr>
              <w:t>通用要求</w:t>
            </w:r>
          </w:p>
        </w:tc>
        <w:tc>
          <w:tcPr>
            <w:tcW w:w="7063" w:type="dxa"/>
            <w:vAlign w:val="center"/>
          </w:tcPr>
          <w:p>
            <w:pPr>
              <w:spacing w:line="320" w:lineRule="exact"/>
              <w:rPr>
                <w:rFonts w:ascii="宋体" w:hAnsi="宋体"/>
                <w:szCs w:val="21"/>
              </w:rPr>
            </w:pPr>
            <w:r>
              <w:rPr>
                <w:rFonts w:hint="eastAsia" w:ascii="宋体" w:hAnsi="宋体"/>
                <w:szCs w:val="21"/>
              </w:rPr>
              <w:t>1.响应文件中所提供材料应响应谈判文件要求，材料有效完整（包括有关变更、年检、附注等）；有关证件在变更、年审中的，提交管理部门的正式结果文件，变更申请书（报告）、受理通知书（单）等非正式结果文件不予认可。</w:t>
            </w:r>
          </w:p>
          <w:p>
            <w:pPr>
              <w:spacing w:line="320" w:lineRule="exact"/>
              <w:rPr>
                <w:rFonts w:ascii="宋体" w:hAnsi="宋体"/>
                <w:szCs w:val="21"/>
              </w:rPr>
            </w:pPr>
            <w:r>
              <w:rPr>
                <w:rFonts w:hint="eastAsia" w:ascii="宋体" w:hAnsi="宋体"/>
                <w:szCs w:val="21"/>
              </w:rPr>
              <w:t>2.</w:t>
            </w:r>
            <w:r>
              <w:rPr>
                <w:rFonts w:ascii="宋体" w:hAnsi="宋体"/>
                <w:szCs w:val="21"/>
              </w:rPr>
              <w:t>响应文件中</w:t>
            </w:r>
            <w:r>
              <w:rPr>
                <w:rFonts w:hint="eastAsia" w:ascii="宋体" w:hAnsi="宋体"/>
                <w:szCs w:val="21"/>
              </w:rPr>
              <w:t>所提供材料</w:t>
            </w:r>
            <w:r>
              <w:rPr>
                <w:rFonts w:ascii="宋体" w:hAnsi="宋体"/>
                <w:szCs w:val="21"/>
              </w:rPr>
              <w:t>须清晰可辨认，如因证明材料模糊无法辨认，缺页、漏页导致无法进行评审认定的责任由</w:t>
            </w:r>
            <w:r>
              <w:rPr>
                <w:rFonts w:hint="eastAsia" w:ascii="宋体" w:hAnsi="宋体"/>
                <w:szCs w:val="21"/>
              </w:rPr>
              <w:t>供应商</w:t>
            </w:r>
            <w:r>
              <w:rPr>
                <w:rFonts w:ascii="宋体" w:hAnsi="宋体"/>
                <w:szCs w:val="21"/>
              </w:rPr>
              <w:t>自负。如发现弄虚作假将按照有关规定处理。</w:t>
            </w:r>
          </w:p>
          <w:p>
            <w:pPr>
              <w:spacing w:line="320" w:lineRule="exact"/>
              <w:rPr>
                <w:rFonts w:ascii="宋体" w:hAnsi="宋体"/>
                <w:szCs w:val="21"/>
              </w:rPr>
            </w:pPr>
            <w:r>
              <w:rPr>
                <w:rFonts w:hint="eastAsia" w:ascii="宋体" w:hAnsi="宋体"/>
                <w:szCs w:val="21"/>
              </w:rPr>
              <w:t>3.</w:t>
            </w:r>
            <w:r>
              <w:rPr>
                <w:rFonts w:ascii="宋体" w:hAnsi="宋体"/>
                <w:szCs w:val="21"/>
              </w:rPr>
              <w:t>材料仅限于谈判供应商本身，参股或控股单位及独立法人子公司的材料不能作为证明材料</w:t>
            </w:r>
            <w:r>
              <w:rPr>
                <w:rFonts w:hint="eastAsia" w:ascii="宋体" w:hAnsi="宋体"/>
                <w:sz w:val="24"/>
              </w:rPr>
              <w:t>，</w:t>
            </w:r>
            <w:r>
              <w:rPr>
                <w:rFonts w:hint="eastAsia" w:ascii="宋体" w:hAnsi="宋体"/>
                <w:szCs w:val="21"/>
              </w:rPr>
              <w:t>但谈判供应商兼并的企业的材料可作为证明材料。</w:t>
            </w:r>
          </w:p>
          <w:p>
            <w:pPr>
              <w:spacing w:line="320" w:lineRule="exact"/>
              <w:rPr>
                <w:rFonts w:ascii="宋体" w:hAnsi="宋体"/>
                <w:szCs w:val="21"/>
              </w:rPr>
            </w:pPr>
            <w:r>
              <w:rPr>
                <w:rFonts w:hint="eastAsia" w:ascii="宋体" w:hAnsi="宋体"/>
                <w:szCs w:val="21"/>
              </w:rPr>
              <w:t>4.除非谈判文件另有说明，不接受供应商以自身官网或产品制造商官网的网页截图作为证明材料，以证明其资格、能力和信誉；或证明其谈判产品的质量、性能；或用于质疑举证。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11" w:type="dxa"/>
            <w:vMerge w:val="continue"/>
            <w:vAlign w:val="center"/>
          </w:tcPr>
          <w:p>
            <w:pPr>
              <w:spacing w:line="320" w:lineRule="exact"/>
              <w:jc w:val="center"/>
              <w:rPr>
                <w:rFonts w:ascii="宋体" w:hAnsi="宋体"/>
                <w:szCs w:val="21"/>
              </w:rPr>
            </w:pPr>
          </w:p>
        </w:tc>
        <w:tc>
          <w:tcPr>
            <w:tcW w:w="1101" w:type="dxa"/>
            <w:vMerge w:val="continue"/>
            <w:vAlign w:val="center"/>
          </w:tcPr>
          <w:p>
            <w:pPr>
              <w:spacing w:line="320" w:lineRule="exact"/>
              <w:jc w:val="center"/>
              <w:rPr>
                <w:rFonts w:ascii="宋体" w:hAnsi="宋体"/>
                <w:szCs w:val="21"/>
              </w:rPr>
            </w:pPr>
          </w:p>
        </w:tc>
        <w:tc>
          <w:tcPr>
            <w:tcW w:w="853" w:type="dxa"/>
            <w:vAlign w:val="center"/>
          </w:tcPr>
          <w:p>
            <w:pPr>
              <w:spacing w:line="320" w:lineRule="exact"/>
              <w:jc w:val="center"/>
              <w:rPr>
                <w:rFonts w:ascii="宋体" w:hAnsi="宋体"/>
                <w:szCs w:val="21"/>
              </w:rPr>
            </w:pPr>
            <w:r>
              <w:rPr>
                <w:rFonts w:hint="eastAsia" w:ascii="宋体" w:hAnsi="宋体"/>
                <w:szCs w:val="21"/>
              </w:rPr>
              <w:t>原件提交要求</w:t>
            </w:r>
          </w:p>
        </w:tc>
        <w:tc>
          <w:tcPr>
            <w:tcW w:w="7063" w:type="dxa"/>
            <w:vAlign w:val="center"/>
          </w:tcPr>
          <w:p>
            <w:pPr>
              <w:spacing w:line="300" w:lineRule="exact"/>
              <w:jc w:val="left"/>
              <w:rPr>
                <w:rFonts w:ascii="宋体" w:hAnsi="宋体"/>
                <w:szCs w:val="21"/>
              </w:rPr>
            </w:pPr>
            <w:r>
              <w:rPr>
                <w:rFonts w:hint="eastAsia" w:ascii="宋体" w:hAnsi="宋体"/>
                <w:szCs w:val="21"/>
              </w:rPr>
              <w:t>☑不需提交</w:t>
            </w:r>
          </w:p>
          <w:p>
            <w:pPr>
              <w:spacing w:line="300" w:lineRule="exact"/>
              <w:rPr>
                <w:rFonts w:ascii="宋体" w:hAnsi="宋体"/>
                <w:szCs w:val="21"/>
              </w:rPr>
            </w:pPr>
            <w:r>
              <w:rPr>
                <w:rFonts w:hint="eastAsia" w:ascii="宋体" w:hAnsi="宋体"/>
                <w:b/>
                <w:szCs w:val="21"/>
              </w:rPr>
              <w:fldChar w:fldCharType="begin"/>
            </w:r>
            <w:r>
              <w:rPr>
                <w:rFonts w:hint="eastAsia" w:ascii="宋体" w:hAnsi="宋体"/>
                <w:b/>
                <w:szCs w:val="21"/>
              </w:rPr>
              <w:instrText xml:space="preserve"> eq \o\ac(□)</w:instrText>
            </w:r>
            <w:r>
              <w:rPr>
                <w:rFonts w:hint="eastAsia" w:ascii="宋体" w:hAnsi="宋体"/>
                <w:b/>
                <w:szCs w:val="21"/>
              </w:rPr>
              <w:fldChar w:fldCharType="end"/>
            </w:r>
            <w:r>
              <w:rPr>
                <w:rFonts w:hint="eastAsia" w:ascii="宋体" w:hAnsi="宋体"/>
                <w:szCs w:val="21"/>
              </w:rPr>
              <w:t>需提交</w:t>
            </w:r>
          </w:p>
          <w:p>
            <w:pPr>
              <w:spacing w:line="320" w:lineRule="exact"/>
              <w:rPr>
                <w:rFonts w:ascii="宋体" w:hAnsi="宋体"/>
                <w:szCs w:val="21"/>
              </w:rPr>
            </w:pPr>
            <w:r>
              <w:rPr>
                <w:rFonts w:hint="eastAsia" w:ascii="宋体" w:hAnsi="宋体"/>
                <w:szCs w:val="21"/>
              </w:rPr>
              <w:t>谈判文件要求提供证明材料原件的，除遵守通用要求外，供应商应将要求的证明材料原件单独密封后随响应文件一起递交。谈判截止时间后，供应商不得对其证明材料原件作任何补充、更正。资格审查或评审结束后，由供应商领回。谈判文件另有要求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szCs w:val="21"/>
              </w:rPr>
              <w:t>39</w:t>
            </w:r>
          </w:p>
        </w:tc>
        <w:tc>
          <w:tcPr>
            <w:tcW w:w="1954" w:type="dxa"/>
            <w:gridSpan w:val="2"/>
            <w:vAlign w:val="center"/>
          </w:tcPr>
          <w:p>
            <w:pPr>
              <w:spacing w:line="320" w:lineRule="exact"/>
              <w:jc w:val="center"/>
              <w:rPr>
                <w:rFonts w:ascii="宋体" w:hAnsi="宋体" w:cs="Arial"/>
                <w:kern w:val="0"/>
                <w:szCs w:val="21"/>
              </w:rPr>
            </w:pPr>
            <w:r>
              <w:rPr>
                <w:rFonts w:hint="eastAsia" w:ascii="宋体" w:hAnsi="宋体" w:cs="Arial"/>
                <w:kern w:val="0"/>
                <w:szCs w:val="21"/>
              </w:rPr>
              <w:t>其他需要说明的事项</w:t>
            </w:r>
          </w:p>
        </w:tc>
        <w:tc>
          <w:tcPr>
            <w:tcW w:w="7063" w:type="dxa"/>
            <w:vAlign w:val="center"/>
          </w:tcPr>
          <w:p>
            <w:pPr>
              <w:spacing w:line="320" w:lineRule="exact"/>
              <w:rPr>
                <w:rFonts w:ascii="宋体" w:hAnsi="宋体" w:cs="Arial"/>
                <w:kern w:val="0"/>
                <w:szCs w:val="21"/>
              </w:rPr>
            </w:pPr>
            <w:r>
              <w:rPr>
                <w:rFonts w:hint="eastAsia" w:ascii="宋体" w:hAnsi="宋体" w:cs="Arial"/>
                <w:kern w:val="0"/>
                <w:szCs w:val="21"/>
              </w:rPr>
              <w:t>1.除本谈判文件另有规定外，谈判文件中出现的类似于“近三年”或“前三年”、“近五年”或“前五年”均指递交响应文件截止时间以前3年或前5年，以此类推。</w:t>
            </w:r>
          </w:p>
          <w:p>
            <w:pPr>
              <w:spacing w:line="320" w:lineRule="exact"/>
              <w:rPr>
                <w:rFonts w:ascii="宋体" w:hAnsi="宋体" w:cs="Arial"/>
                <w:kern w:val="0"/>
                <w:szCs w:val="21"/>
              </w:rPr>
            </w:pPr>
            <w:r>
              <w:rPr>
                <w:rFonts w:hint="eastAsia" w:ascii="宋体" w:hAnsi="宋体" w:cs="Arial"/>
                <w:kern w:val="0"/>
                <w:szCs w:val="21"/>
              </w:rPr>
              <w:t>2.关于提交财务审计报告的年份要求：递交响应文件截止时间如在当年6月30日以前，则近三年指上上个年度往前推算的三年。</w:t>
            </w:r>
          </w:p>
          <w:p>
            <w:pPr>
              <w:spacing w:line="320" w:lineRule="exact"/>
              <w:rPr>
                <w:rFonts w:ascii="宋体" w:hAnsi="宋体" w:cs="Arial"/>
                <w:kern w:val="0"/>
                <w:szCs w:val="21"/>
              </w:rPr>
            </w:pPr>
            <w:r>
              <w:rPr>
                <w:rFonts w:hint="eastAsia" w:ascii="宋体" w:hAnsi="宋体" w:cs="Arial"/>
                <w:kern w:val="0"/>
                <w:szCs w:val="21"/>
              </w:rPr>
              <w:t>递交响应文件截止时间如在当年6月30日以后，则近三年是指上个年度往前推算的3年。</w:t>
            </w:r>
          </w:p>
          <w:p>
            <w:pPr>
              <w:spacing w:line="320" w:lineRule="exact"/>
              <w:rPr>
                <w:rFonts w:ascii="宋体" w:hAnsi="宋体" w:cs="Arial"/>
                <w:kern w:val="0"/>
                <w:szCs w:val="21"/>
              </w:rPr>
            </w:pPr>
            <w:r>
              <w:rPr>
                <w:rFonts w:hint="eastAsia" w:ascii="宋体" w:hAnsi="宋体" w:cs="Arial"/>
                <w:kern w:val="0"/>
                <w:szCs w:val="21"/>
              </w:rPr>
              <w:t>3.本谈判文件所称的“以上”、“以下”、“内”、“以内”，包括本数；所称的“不足”，不包括本数。</w:t>
            </w:r>
          </w:p>
          <w:p>
            <w:pPr>
              <w:spacing w:line="320" w:lineRule="exact"/>
              <w:rPr>
                <w:rFonts w:ascii="宋体" w:hAnsi="宋体"/>
                <w:szCs w:val="21"/>
              </w:rPr>
            </w:pPr>
            <w:r>
              <w:rPr>
                <w:rFonts w:hint="eastAsia" w:ascii="宋体" w:hAnsi="宋体"/>
                <w:szCs w:val="21"/>
              </w:rPr>
              <w:t>4.</w:t>
            </w:r>
            <w:r>
              <w:rPr>
                <w:rFonts w:hint="eastAsia" w:ascii="宋体" w:hAnsi="宋体" w:cs="宋体"/>
                <w:szCs w:val="21"/>
              </w:rPr>
              <w:t>响应文件印章：盖标明供应商法定名称的公章，不得用如“谈判专用章”、“业务专用章”、“合同专用章”、“财务专用章”代替。不得为电子公章、扫描章，否则为无效谈判。</w:t>
            </w:r>
          </w:p>
          <w:p>
            <w:pPr>
              <w:spacing w:line="320" w:lineRule="exact"/>
              <w:rPr>
                <w:rFonts w:ascii="宋体" w:hAnsi="宋体" w:cs="Arial"/>
                <w:b/>
                <w:kern w:val="0"/>
                <w:szCs w:val="21"/>
              </w:rPr>
            </w:pPr>
            <w:r>
              <w:rPr>
                <w:rFonts w:hint="eastAsia" w:ascii="宋体" w:hAnsi="宋体" w:cs="宋体"/>
                <w:b/>
                <w:szCs w:val="21"/>
              </w:rPr>
              <w:t>5.</w:t>
            </w:r>
            <w:r>
              <w:rPr>
                <w:rFonts w:hint="eastAsia" w:ascii="宋体" w:hAnsi="宋体" w:cs="宋体"/>
                <w:b/>
                <w:spacing w:val="-3"/>
                <w:szCs w:val="21"/>
              </w:rPr>
              <w:t>本表中，</w:t>
            </w:r>
            <w:r>
              <w:rPr>
                <w:rFonts w:hint="eastAsia" w:ascii="宋体" w:hAnsi="宋体"/>
                <w:b/>
                <w:szCs w:val="21"/>
              </w:rPr>
              <w:t>□表示不选中，本项目不适用；</w:t>
            </w: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b/>
                <w:szCs w:val="21"/>
              </w:rPr>
              <w:t>表示选中，本项目适用。</w:t>
            </w:r>
          </w:p>
        </w:tc>
      </w:tr>
    </w:tbl>
    <w:p>
      <w:pPr>
        <w:pStyle w:val="4"/>
      </w:pPr>
      <w:bookmarkStart w:id="9" w:name="_Toc120411798"/>
      <w:bookmarkStart w:id="10" w:name="_Toc13748"/>
      <w:bookmarkStart w:id="11" w:name="_Toc535832519"/>
      <w:r>
        <w:t>二、谈判文件</w:t>
      </w:r>
      <w:bookmarkEnd w:id="9"/>
      <w:bookmarkEnd w:id="10"/>
      <w:bookmarkEnd w:id="11"/>
    </w:p>
    <w:p>
      <w:pPr>
        <w:pStyle w:val="16"/>
        <w:tabs>
          <w:tab w:val="left" w:pos="1155"/>
          <w:tab w:val="clear" w:pos="425"/>
          <w:tab w:val="clear" w:pos="1134"/>
        </w:tabs>
        <w:spacing w:before="0" w:after="0"/>
        <w:ind w:left="1157" w:hanging="1157"/>
      </w:pPr>
      <w:bookmarkStart w:id="12" w:name="_Toc120411799"/>
      <w:bookmarkStart w:id="13" w:name="_Toc535832520"/>
      <w:bookmarkStart w:id="14" w:name="_Toc16768"/>
      <w:r>
        <w:t>谈判文件的构成</w:t>
      </w:r>
      <w:bookmarkEnd w:id="12"/>
      <w:bookmarkEnd w:id="13"/>
      <w:bookmarkEnd w:id="14"/>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谈判文件</w:t>
      </w:r>
      <w:r>
        <w:rPr>
          <w:rFonts w:hint="eastAsia" w:ascii="宋体" w:hAnsi="宋体" w:cs="Arial"/>
          <w:kern w:val="0"/>
          <w:sz w:val="24"/>
        </w:rPr>
        <w:t>用以阐明所需</w:t>
      </w:r>
      <w:r>
        <w:rPr>
          <w:rFonts w:ascii="宋体" w:hAnsi="宋体" w:cs="Arial"/>
          <w:kern w:val="0"/>
          <w:sz w:val="24"/>
        </w:rPr>
        <w:t>货物</w:t>
      </w:r>
      <w:r>
        <w:rPr>
          <w:rFonts w:hint="eastAsia" w:ascii="宋体" w:hAnsi="宋体" w:cs="Arial"/>
          <w:kern w:val="0"/>
          <w:sz w:val="24"/>
        </w:rPr>
        <w:t>及</w:t>
      </w:r>
      <w:r>
        <w:rPr>
          <w:rFonts w:ascii="宋体" w:hAnsi="宋体" w:cs="Arial"/>
          <w:kern w:val="0"/>
          <w:sz w:val="24"/>
        </w:rPr>
        <w:t>服务、谈判</w:t>
      </w:r>
      <w:r>
        <w:rPr>
          <w:rFonts w:hint="eastAsia" w:ascii="宋体" w:hAnsi="宋体" w:cs="Arial"/>
          <w:kern w:val="0"/>
          <w:sz w:val="24"/>
        </w:rPr>
        <w:t>程序</w:t>
      </w:r>
      <w:r>
        <w:rPr>
          <w:rFonts w:ascii="宋体" w:hAnsi="宋体" w:cs="Arial"/>
          <w:kern w:val="0"/>
          <w:sz w:val="24"/>
        </w:rPr>
        <w:t>和合同条款。谈判文件共</w:t>
      </w:r>
      <w:r>
        <w:rPr>
          <w:rFonts w:hint="eastAsia" w:ascii="宋体" w:hAnsi="宋体" w:cs="Arial"/>
          <w:kern w:val="0"/>
          <w:sz w:val="24"/>
        </w:rPr>
        <w:t>六</w:t>
      </w:r>
      <w:r>
        <w:rPr>
          <w:rFonts w:ascii="宋体" w:hAnsi="宋体" w:cs="Arial"/>
          <w:kern w:val="0"/>
          <w:sz w:val="24"/>
        </w:rPr>
        <w:t>章。具体内容如下：</w:t>
      </w:r>
    </w:p>
    <w:p>
      <w:pPr>
        <w:numPr>
          <w:ilvl w:val="0"/>
          <w:numId w:val="4"/>
        </w:numPr>
        <w:tabs>
          <w:tab w:val="left" w:pos="2577"/>
          <w:tab w:val="clear" w:pos="1737"/>
        </w:tabs>
        <w:spacing w:line="560" w:lineRule="exact"/>
        <w:ind w:left="1722" w:leftChars="820"/>
        <w:rPr>
          <w:rFonts w:ascii="宋体" w:hAnsi="宋体" w:cs="Arial"/>
          <w:sz w:val="24"/>
        </w:rPr>
      </w:pPr>
      <w:r>
        <w:rPr>
          <w:rFonts w:hint="eastAsia" w:ascii="宋体" w:hAnsi="宋体" w:cs="Arial"/>
          <w:sz w:val="24"/>
        </w:rPr>
        <w:t>谈判公告（代采购</w:t>
      </w:r>
      <w:r>
        <w:rPr>
          <w:rFonts w:ascii="宋体" w:hAnsi="宋体" w:cs="Arial"/>
          <w:sz w:val="24"/>
        </w:rPr>
        <w:t>邀请</w:t>
      </w:r>
      <w:r>
        <w:rPr>
          <w:rFonts w:hint="eastAsia" w:ascii="宋体" w:hAnsi="宋体" w:cs="Arial"/>
          <w:sz w:val="24"/>
        </w:rPr>
        <w:t>）</w:t>
      </w:r>
    </w:p>
    <w:p>
      <w:pPr>
        <w:numPr>
          <w:ilvl w:val="0"/>
          <w:numId w:val="4"/>
        </w:numPr>
        <w:tabs>
          <w:tab w:val="left" w:pos="2577"/>
          <w:tab w:val="clear" w:pos="1737"/>
        </w:tabs>
        <w:spacing w:line="560" w:lineRule="exact"/>
        <w:ind w:left="1722" w:leftChars="820"/>
        <w:rPr>
          <w:rFonts w:ascii="宋体" w:hAnsi="宋体" w:cs="Arial"/>
          <w:sz w:val="24"/>
        </w:rPr>
      </w:pPr>
      <w:r>
        <w:rPr>
          <w:rFonts w:ascii="宋体" w:hAnsi="宋体" w:cs="Arial"/>
          <w:sz w:val="24"/>
        </w:rPr>
        <w:t>供应商须知</w:t>
      </w:r>
      <w:r>
        <w:rPr>
          <w:rFonts w:hint="eastAsia" w:ascii="宋体" w:hAnsi="宋体" w:cs="Arial"/>
          <w:sz w:val="24"/>
        </w:rPr>
        <w:t>及前附表</w:t>
      </w:r>
    </w:p>
    <w:p>
      <w:pPr>
        <w:numPr>
          <w:ilvl w:val="0"/>
          <w:numId w:val="4"/>
        </w:numPr>
        <w:tabs>
          <w:tab w:val="left" w:pos="2577"/>
          <w:tab w:val="clear" w:pos="1737"/>
        </w:tabs>
        <w:spacing w:line="560" w:lineRule="exact"/>
        <w:ind w:left="1722" w:leftChars="820"/>
        <w:rPr>
          <w:rFonts w:ascii="宋体" w:hAnsi="宋体" w:cs="Arial"/>
          <w:sz w:val="24"/>
        </w:rPr>
      </w:pPr>
      <w:r>
        <w:rPr>
          <w:rFonts w:hint="eastAsia" w:ascii="宋体" w:hAnsi="宋体" w:cs="Arial"/>
          <w:sz w:val="24"/>
        </w:rPr>
        <w:t>项目采购需求</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除9.1内容外，采购人以书面形式发出的对谈判文件的澄清或修改内容，均为谈判文件的组成部分，对采购人和供应商起约束作用。</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供应商获取谈判文件后，应仔细检查谈判文件的所有内容，如发现缺页或附件不全，应在获得谈判文件1日内向采购代理机构提出，以便补齐。否则，由此引起的损失由供应商自己承担。</w:t>
      </w:r>
    </w:p>
    <w:p>
      <w:pPr>
        <w:pStyle w:val="16"/>
        <w:tabs>
          <w:tab w:val="left" w:pos="1155"/>
          <w:tab w:val="clear" w:pos="425"/>
          <w:tab w:val="clear" w:pos="1134"/>
        </w:tabs>
        <w:spacing w:before="0" w:after="0"/>
        <w:ind w:left="1157" w:hanging="1157"/>
      </w:pPr>
      <w:bookmarkStart w:id="15" w:name="_Toc27507"/>
      <w:bookmarkStart w:id="16" w:name="_Toc120411801"/>
      <w:bookmarkStart w:id="17" w:name="_Toc535832522"/>
      <w:r>
        <w:rPr>
          <w:rFonts w:hint="eastAsia"/>
        </w:rPr>
        <w:t>谈判文件疑问的提交</w:t>
      </w:r>
      <w:bookmarkEnd w:id="15"/>
    </w:p>
    <w:p>
      <w:pPr>
        <w:numPr>
          <w:ilvl w:val="1"/>
          <w:numId w:val="3"/>
        </w:numPr>
        <w:tabs>
          <w:tab w:val="left" w:pos="567"/>
          <w:tab w:val="left" w:pos="1155"/>
          <w:tab w:val="left" w:pos="2247"/>
        </w:tabs>
        <w:spacing w:line="560" w:lineRule="exact"/>
        <w:ind w:left="1155" w:hanging="1155"/>
        <w:rPr>
          <w:rFonts w:ascii="宋体" w:hAnsi="宋体" w:cs="Arial"/>
          <w:kern w:val="0"/>
          <w:sz w:val="24"/>
        </w:rPr>
      </w:pPr>
      <w:r>
        <w:rPr>
          <w:rFonts w:hint="eastAsia" w:ascii="宋体" w:hAnsi="宋体" w:cs="Arial"/>
          <w:kern w:val="0"/>
          <w:sz w:val="24"/>
        </w:rPr>
        <w:t>供应商对谈判文件的疑问，可以在收到谈判文件之日或谈判文件公告期限届满之日起，以询问函的方式书面（包括信函、传真等，下同）向采购代理机构提出，采购代理机构将以书面形式在3个工作日内予以答复；也可以按本章第七节的要求提出质疑，将按规定以书面形式予以答复。</w:t>
      </w:r>
    </w:p>
    <w:p>
      <w:pPr>
        <w:numPr>
          <w:ilvl w:val="1"/>
          <w:numId w:val="3"/>
        </w:numPr>
        <w:tabs>
          <w:tab w:val="left" w:pos="567"/>
          <w:tab w:val="left" w:pos="1155"/>
        </w:tabs>
        <w:spacing w:line="500" w:lineRule="exact"/>
        <w:ind w:left="1155" w:hanging="1155"/>
        <w:rPr>
          <w:rFonts w:ascii="宋体" w:hAnsi="宋体" w:cs="Arial"/>
          <w:kern w:val="0"/>
          <w:sz w:val="24"/>
        </w:rPr>
      </w:pPr>
      <w:r>
        <w:rPr>
          <w:rFonts w:hint="eastAsia" w:ascii="宋体" w:hAnsi="宋体" w:cs="Arial"/>
          <w:kern w:val="0"/>
          <w:sz w:val="24"/>
        </w:rPr>
        <w:t>供应商在规定的时间内未对谈判文件提出疑问的，</w:t>
      </w:r>
      <w:r>
        <w:rPr>
          <w:rFonts w:hint="eastAsia"/>
          <w:sz w:val="24"/>
        </w:rPr>
        <w:t>采购人将视作其同意，对在规定时间后就谈判文件内容提出的询问或质疑将不予受理。</w:t>
      </w:r>
    </w:p>
    <w:p>
      <w:pPr>
        <w:pStyle w:val="16"/>
        <w:tabs>
          <w:tab w:val="left" w:pos="1155"/>
          <w:tab w:val="clear" w:pos="425"/>
          <w:tab w:val="clear" w:pos="1134"/>
        </w:tabs>
        <w:spacing w:before="0" w:after="0"/>
        <w:ind w:left="1157" w:hanging="1157"/>
      </w:pPr>
      <w:bookmarkStart w:id="18" w:name="_Toc30155"/>
      <w:r>
        <w:rPr>
          <w:rFonts w:hint="eastAsia"/>
        </w:rPr>
        <w:t>通知</w:t>
      </w:r>
      <w:bookmarkEnd w:id="18"/>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对与本项目有关的通知，采购代理机构将以书面或电子邮件或在本谈判公告刊登的媒体上发布公告的形式，送达所有领取了谈判文件的供应商，电子邮箱地址和传真号码以供应商的登记为准。收到通知的供应商应以同等方式立即予以回复确认。因登记有误或邮箱服务器、传真线路故障导致通知延迟送达或无法送达，采购代理机构不承担责任。</w:t>
      </w:r>
    </w:p>
    <w:bookmarkEnd w:id="16"/>
    <w:bookmarkEnd w:id="17"/>
    <w:p>
      <w:pPr>
        <w:pStyle w:val="4"/>
      </w:pPr>
      <w:bookmarkStart w:id="19" w:name="_Toc535832523"/>
      <w:bookmarkStart w:id="20" w:name="_Toc120411802"/>
      <w:bookmarkStart w:id="21" w:name="_Toc5242"/>
      <w:r>
        <w:t>三、响应文件的编制</w:t>
      </w:r>
      <w:bookmarkEnd w:id="19"/>
      <w:bookmarkEnd w:id="20"/>
      <w:r>
        <w:rPr>
          <w:rFonts w:hint="eastAsia"/>
        </w:rPr>
        <w:t>、装订、</w:t>
      </w:r>
      <w:r>
        <w:t>密封和标记</w:t>
      </w:r>
      <w:bookmarkEnd w:id="21"/>
    </w:p>
    <w:p>
      <w:pPr>
        <w:pStyle w:val="16"/>
        <w:tabs>
          <w:tab w:val="left" w:pos="1155"/>
          <w:tab w:val="clear" w:pos="425"/>
          <w:tab w:val="clear" w:pos="1134"/>
        </w:tabs>
        <w:spacing w:before="0" w:after="0"/>
        <w:ind w:left="1157" w:hanging="1157"/>
      </w:pPr>
      <w:bookmarkStart w:id="22" w:name="_Toc535832524"/>
      <w:bookmarkStart w:id="23" w:name="_Toc120411803"/>
      <w:bookmarkStart w:id="24" w:name="_Toc10505"/>
      <w:r>
        <w:t>响应文件的语言及计量</w:t>
      </w:r>
      <w:bookmarkEnd w:id="22"/>
      <w:bookmarkEnd w:id="23"/>
      <w:bookmarkEnd w:id="24"/>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供应商提交的响应文件以及供应商与采购人和采购代理机构就有关谈判的所有往来函电均应使用中文书写。供应商提交的</w:t>
      </w:r>
      <w:r>
        <w:rPr>
          <w:rFonts w:hint="eastAsia" w:ascii="宋体" w:hAnsi="宋体" w:cs="Arial"/>
          <w:kern w:val="0"/>
          <w:sz w:val="24"/>
        </w:rPr>
        <w:t>材料</w:t>
      </w:r>
      <w:r>
        <w:rPr>
          <w:rFonts w:ascii="宋体" w:hAnsi="宋体" w:cs="Arial"/>
          <w:kern w:val="0"/>
          <w:sz w:val="24"/>
        </w:rPr>
        <w:t>可以用另一种语言，但相应内容应附中文翻译本，存在差异和矛盾时以中文翻译本为准。</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除谈判文件另有规定外，在响应文件中以及所有供应商与采购人和采购代理机构往来文件中的计量单位均应采用中华人民共和国法定计量单位。</w:t>
      </w:r>
    </w:p>
    <w:p>
      <w:pPr>
        <w:pStyle w:val="16"/>
        <w:tabs>
          <w:tab w:val="left" w:pos="1155"/>
          <w:tab w:val="clear" w:pos="425"/>
          <w:tab w:val="clear" w:pos="1134"/>
        </w:tabs>
        <w:spacing w:before="0" w:after="0"/>
        <w:ind w:left="1157" w:hanging="1157"/>
      </w:pPr>
      <w:bookmarkStart w:id="25" w:name="_Toc120411804"/>
      <w:bookmarkStart w:id="26" w:name="_Toc24505"/>
      <w:bookmarkStart w:id="27" w:name="_Toc535832525"/>
      <w:r>
        <w:t>响应文件的构成</w:t>
      </w:r>
      <w:bookmarkEnd w:id="25"/>
      <w:bookmarkEnd w:id="26"/>
      <w:bookmarkEnd w:id="27"/>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供应商应严格按照谈判文件中的有关要求如实编制响应文件，并提供证明材料，对资料和填写的内容的真实性和正确性负责。</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供应商所递交的响应文件主要包括：按本谈判文件第六章要求编制。</w:t>
      </w:r>
    </w:p>
    <w:p>
      <w:pPr>
        <w:pStyle w:val="16"/>
        <w:tabs>
          <w:tab w:val="left" w:pos="1155"/>
          <w:tab w:val="clear" w:pos="425"/>
          <w:tab w:val="clear" w:pos="1134"/>
        </w:tabs>
        <w:spacing w:before="0" w:after="0"/>
        <w:ind w:left="1157" w:hanging="1157"/>
      </w:pPr>
      <w:bookmarkStart w:id="28" w:name="_Toc19459"/>
      <w:bookmarkStart w:id="29" w:name="_Toc120411806"/>
      <w:bookmarkStart w:id="30" w:name="_Toc535832527"/>
      <w:r>
        <w:rPr>
          <w:rFonts w:hint="eastAsia"/>
        </w:rPr>
        <w:t>谈判</w:t>
      </w:r>
      <w:r>
        <w:t>报价</w:t>
      </w:r>
      <w:bookmarkEnd w:id="28"/>
      <w:bookmarkEnd w:id="29"/>
      <w:bookmarkEnd w:id="30"/>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供应商一律用</w:t>
      </w:r>
      <w:r>
        <w:rPr>
          <w:rFonts w:hint="eastAsia" w:ascii="宋体" w:hAnsi="宋体" w:cs="Arial"/>
          <w:kern w:val="0"/>
          <w:sz w:val="24"/>
        </w:rPr>
        <w:t>人民币</w:t>
      </w:r>
      <w:r>
        <w:rPr>
          <w:rFonts w:ascii="宋体" w:hAnsi="宋体" w:cs="Arial"/>
          <w:kern w:val="0"/>
          <w:sz w:val="24"/>
        </w:rPr>
        <w:t>报价</w:t>
      </w:r>
      <w:r>
        <w:rPr>
          <w:rFonts w:hint="eastAsia" w:ascii="宋体" w:hAnsi="宋体" w:cs="Arial"/>
          <w:kern w:val="0"/>
          <w:sz w:val="24"/>
        </w:rPr>
        <w:t>。</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供应商的谈判报价应包括完成本项目的全部费用,</w:t>
      </w:r>
      <w:r>
        <w:rPr>
          <w:rFonts w:hint="eastAsia"/>
          <w:sz w:val="24"/>
        </w:rPr>
        <w:t xml:space="preserve"> </w:t>
      </w:r>
      <w:r>
        <w:rPr>
          <w:rFonts w:hint="eastAsia" w:ascii="宋体" w:hAnsi="宋体" w:cs="Arial"/>
          <w:kern w:val="0"/>
          <w:sz w:val="24"/>
        </w:rPr>
        <w:t xml:space="preserve">供应商对报价的准确性和完整性负责，任何漏报、错报等均是供应商的风险。   </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sz w:val="24"/>
        </w:rPr>
        <w:t>谈判报价只允许一个报价，任何有可供选择的报价将不予接受。</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本项目谈判报价在合同执行过程中是固定不变的，供应商应充分考虑合同履行期间的市场风险和国家政策性调整风险，一并考虑谈判报价。除合同约定的情况外，供应商不得以任何理由在合同执行期间要求予以价格调整。</w:t>
      </w:r>
    </w:p>
    <w:p>
      <w:pPr>
        <w:pStyle w:val="16"/>
        <w:tabs>
          <w:tab w:val="left" w:pos="1155"/>
          <w:tab w:val="clear" w:pos="425"/>
          <w:tab w:val="clear" w:pos="1134"/>
        </w:tabs>
        <w:spacing w:before="0" w:after="0"/>
        <w:ind w:left="1157" w:hanging="1157"/>
      </w:pPr>
      <w:bookmarkStart w:id="31" w:name="_Toc535832532"/>
      <w:bookmarkStart w:id="32" w:name="_Toc120411811"/>
      <w:bookmarkStart w:id="33" w:name="_Toc19911"/>
      <w:r>
        <w:t>谈判有效期</w:t>
      </w:r>
      <w:bookmarkEnd w:id="31"/>
      <w:bookmarkEnd w:id="32"/>
      <w:bookmarkEnd w:id="33"/>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谈判有效期见</w:t>
      </w:r>
      <w:r>
        <w:rPr>
          <w:rFonts w:hint="eastAsia" w:ascii="宋体" w:hAnsi="宋体" w:cs="Arial"/>
          <w:kern w:val="0"/>
          <w:sz w:val="24"/>
        </w:rPr>
        <w:t>供应商</w:t>
      </w:r>
      <w:r>
        <w:rPr>
          <w:rFonts w:ascii="宋体" w:hAnsi="宋体" w:cs="Arial"/>
          <w:kern w:val="0"/>
          <w:sz w:val="24"/>
        </w:rPr>
        <w:t>须知前附表。谈判有效期不满足要求的谈判将被视为非</w:t>
      </w:r>
      <w:r>
        <w:rPr>
          <w:rFonts w:hint="eastAsia" w:ascii="宋体" w:hAnsi="宋体" w:cs="Arial"/>
          <w:kern w:val="0"/>
          <w:sz w:val="24"/>
        </w:rPr>
        <w:t>实质</w:t>
      </w:r>
      <w:r>
        <w:rPr>
          <w:rFonts w:ascii="宋体" w:hAnsi="宋体" w:cs="Arial"/>
          <w:kern w:val="0"/>
          <w:sz w:val="24"/>
        </w:rPr>
        <w:t>响应性谈判而</w:t>
      </w:r>
      <w:r>
        <w:rPr>
          <w:rFonts w:hint="eastAsia" w:ascii="宋体" w:hAnsi="宋体" w:cs="Arial"/>
          <w:kern w:val="0"/>
          <w:sz w:val="24"/>
        </w:rPr>
        <w:t>按无效谈判处理</w:t>
      </w:r>
      <w:r>
        <w:rPr>
          <w:rFonts w:ascii="宋体" w:hAnsi="宋体" w:cs="Arial"/>
          <w:kern w:val="0"/>
          <w:sz w:val="24"/>
        </w:rPr>
        <w:t>。</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在谈判有效期内，供应商撤销或修改其响应文件的，应承担法律和谈判文件规定的责任。</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需要延长谈判有效期的，采购代理机构将以书面形式通知所有供应商延长谈判有效期。 供应商同意延长的，应相应延长其谈判保证金的有效期，但不得要求修改或撤销其响应文件；供应商拒绝延长的，其谈判失效。</w:t>
      </w:r>
    </w:p>
    <w:p>
      <w:pPr>
        <w:pStyle w:val="16"/>
        <w:tabs>
          <w:tab w:val="left" w:pos="1155"/>
          <w:tab w:val="clear" w:pos="425"/>
          <w:tab w:val="clear" w:pos="1134"/>
        </w:tabs>
        <w:spacing w:before="0" w:after="0"/>
        <w:ind w:left="1157" w:hanging="1157"/>
      </w:pPr>
      <w:bookmarkStart w:id="34" w:name="_Toc121195753"/>
      <w:bookmarkStart w:id="35" w:name="_Toc109616875"/>
      <w:bookmarkStart w:id="36" w:name="_Toc47348161"/>
      <w:bookmarkStart w:id="37" w:name="_Toc11828"/>
      <w:bookmarkStart w:id="38" w:name="_Toc535832531"/>
      <w:bookmarkStart w:id="39" w:name="_Toc120411810"/>
      <w:r>
        <w:rPr>
          <w:rFonts w:hint="eastAsia"/>
        </w:rPr>
        <w:t>响应文件格式</w:t>
      </w:r>
      <w:bookmarkEnd w:id="34"/>
      <w:bookmarkEnd w:id="35"/>
      <w:bookmarkEnd w:id="36"/>
      <w:r>
        <w:rPr>
          <w:rFonts w:hint="eastAsia"/>
        </w:rPr>
        <w:t>和签署</w:t>
      </w:r>
      <w:bookmarkEnd w:id="37"/>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应当按照</w:t>
      </w:r>
      <w:r>
        <w:rPr>
          <w:rFonts w:ascii="宋体" w:hAnsi="宋体" w:cs="Arial"/>
          <w:kern w:val="0"/>
          <w:sz w:val="24"/>
        </w:rPr>
        <w:t>本谈判须知规定</w:t>
      </w:r>
      <w:r>
        <w:rPr>
          <w:rFonts w:hint="eastAsia" w:ascii="宋体" w:hAnsi="宋体" w:cs="Arial"/>
          <w:kern w:val="0"/>
          <w:sz w:val="24"/>
        </w:rPr>
        <w:t>和要求</w:t>
      </w:r>
      <w:r>
        <w:rPr>
          <w:rFonts w:ascii="宋体" w:hAnsi="宋体" w:cs="Arial"/>
          <w:kern w:val="0"/>
          <w:sz w:val="24"/>
        </w:rPr>
        <w:t>的内容</w:t>
      </w:r>
      <w:r>
        <w:rPr>
          <w:rFonts w:hint="eastAsia" w:ascii="宋体" w:hAnsi="宋体" w:cs="Arial"/>
          <w:kern w:val="0"/>
          <w:sz w:val="24"/>
        </w:rPr>
        <w:t>进行编写</w:t>
      </w:r>
      <w:r>
        <w:rPr>
          <w:rFonts w:ascii="宋体" w:hAnsi="宋体" w:cs="Arial"/>
          <w:kern w:val="0"/>
          <w:sz w:val="24"/>
        </w:rPr>
        <w:t>，供应商提交的响应文件必须毫无例外地使用谈判文件所提供的响应文件格式（表格可以按同样格式扩展）。</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纸张为A4，图纸（如有）可为A3或其他格式纸张 。</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份数见供应商须知前附表。响应文件</w:t>
      </w:r>
      <w:r>
        <w:rPr>
          <w:rFonts w:ascii="宋体" w:hAnsi="宋体"/>
          <w:color w:val="000000"/>
          <w:kern w:val="0"/>
          <w:sz w:val="24"/>
        </w:rPr>
        <w:t>正、副本都应</w:t>
      </w:r>
      <w:r>
        <w:rPr>
          <w:rFonts w:hint="eastAsia" w:ascii="宋体" w:hAnsi="宋体"/>
          <w:color w:val="000000"/>
          <w:kern w:val="0"/>
          <w:sz w:val="24"/>
        </w:rPr>
        <w:t>编排目录</w:t>
      </w:r>
      <w:r>
        <w:rPr>
          <w:rFonts w:hint="eastAsia" w:ascii="宋体" w:hAnsi="宋体"/>
          <w:b/>
          <w:color w:val="000000"/>
          <w:kern w:val="0"/>
          <w:sz w:val="24"/>
        </w:rPr>
        <w:t>，</w:t>
      </w:r>
      <w:r>
        <w:rPr>
          <w:rFonts w:ascii="宋体" w:hAnsi="宋体" w:cs="Arial"/>
          <w:kern w:val="0"/>
          <w:sz w:val="24"/>
        </w:rPr>
        <w:t>每份响应文件须清楚地标明“正本”</w:t>
      </w:r>
      <w:r>
        <w:rPr>
          <w:rFonts w:hint="eastAsia" w:ascii="宋体" w:hAnsi="宋体" w:cs="Arial"/>
          <w:kern w:val="0"/>
          <w:sz w:val="24"/>
        </w:rPr>
        <w:t>、</w:t>
      </w:r>
      <w:r>
        <w:rPr>
          <w:rFonts w:ascii="宋体" w:hAnsi="宋体" w:cs="Arial"/>
          <w:kern w:val="0"/>
          <w:sz w:val="24"/>
        </w:rPr>
        <w:t>“副本”</w:t>
      </w:r>
      <w:r>
        <w:rPr>
          <w:rFonts w:hint="eastAsia" w:ascii="宋体" w:hAnsi="宋体" w:cs="Arial"/>
          <w:kern w:val="0"/>
          <w:sz w:val="24"/>
        </w:rPr>
        <w:t>。</w:t>
      </w:r>
      <w:r>
        <w:rPr>
          <w:rFonts w:ascii="宋体" w:hAnsi="宋体" w:cs="Arial"/>
          <w:kern w:val="0"/>
          <w:sz w:val="24"/>
        </w:rPr>
        <w:t>若正本和副本不符，以正本为准。响应文件副本可以是正本的复印件</w:t>
      </w:r>
      <w:r>
        <w:rPr>
          <w:rFonts w:hint="eastAsia" w:ascii="宋体" w:hAnsi="宋体" w:cs="Arial"/>
          <w:kern w:val="0"/>
          <w:sz w:val="24"/>
        </w:rPr>
        <w:t>。</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供应商应根据谈判文件的要求，在响应文件的适当位置填写供应商全称、加盖供应商公章、签署法定代表人或法定代表人授权代表的全名。</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响应文件如有涂改之处，应由供应商的法定代表人或法定代表人授权代表签字。</w:t>
      </w:r>
    </w:p>
    <w:bookmarkEnd w:id="38"/>
    <w:bookmarkEnd w:id="39"/>
    <w:p>
      <w:pPr>
        <w:pStyle w:val="16"/>
        <w:tabs>
          <w:tab w:val="left" w:pos="1155"/>
          <w:tab w:val="clear" w:pos="425"/>
          <w:tab w:val="clear" w:pos="1134"/>
        </w:tabs>
        <w:spacing w:before="0" w:after="0"/>
        <w:ind w:left="1157" w:hanging="1157"/>
      </w:pPr>
      <w:bookmarkStart w:id="40" w:name="_Toc535832536"/>
      <w:bookmarkStart w:id="41" w:name="_Toc120411814"/>
      <w:bookmarkStart w:id="42" w:name="_Toc21612"/>
      <w:r>
        <w:t>响应文件的</w:t>
      </w:r>
      <w:bookmarkEnd w:id="40"/>
      <w:bookmarkEnd w:id="41"/>
      <w:r>
        <w:rPr>
          <w:rFonts w:hint="eastAsia"/>
        </w:rPr>
        <w:t>装订、密封和标记</w:t>
      </w:r>
      <w:bookmarkEnd w:id="42"/>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装订要求见供应商须知前附表。</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密封要求见供应商须知前附表。</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封面标记要求见供应商须知前附表。</w:t>
      </w:r>
    </w:p>
    <w:p>
      <w:pPr>
        <w:pStyle w:val="4"/>
      </w:pPr>
      <w:bookmarkStart w:id="43" w:name="_Toc2604"/>
      <w:r>
        <w:rPr>
          <w:rFonts w:hint="eastAsia"/>
        </w:rPr>
        <w:t>四</w:t>
      </w:r>
      <w:r>
        <w:t>、</w:t>
      </w:r>
      <w:bookmarkStart w:id="44" w:name="_Toc120411819"/>
      <w:bookmarkStart w:id="45" w:name="_Toc535832541"/>
      <w:r>
        <w:rPr>
          <w:rFonts w:hint="eastAsia"/>
        </w:rPr>
        <w:t>谈判</w:t>
      </w:r>
      <w:bookmarkEnd w:id="43"/>
    </w:p>
    <w:bookmarkEnd w:id="44"/>
    <w:bookmarkEnd w:id="45"/>
    <w:p>
      <w:pPr>
        <w:pStyle w:val="16"/>
        <w:tabs>
          <w:tab w:val="left" w:pos="1155"/>
          <w:tab w:val="clear" w:pos="425"/>
          <w:tab w:val="clear" w:pos="1134"/>
        </w:tabs>
        <w:spacing w:before="0" w:after="0"/>
        <w:ind w:left="1157" w:hanging="1157"/>
      </w:pPr>
      <w:bookmarkStart w:id="46" w:name="_Toc17380"/>
      <w:r>
        <w:t>响应文件</w:t>
      </w:r>
      <w:r>
        <w:rPr>
          <w:rFonts w:hint="eastAsia"/>
        </w:rPr>
        <w:t>的提交</w:t>
      </w:r>
      <w:bookmarkEnd w:id="46"/>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响应文件提交截止时间和地点详见供应商须知前附表，</w:t>
      </w:r>
      <w:r>
        <w:rPr>
          <w:rFonts w:ascii="宋体" w:hAnsi="宋体" w:cs="Arial"/>
          <w:kern w:val="0"/>
          <w:sz w:val="24"/>
        </w:rPr>
        <w:t>供应商</w:t>
      </w:r>
      <w:r>
        <w:rPr>
          <w:rFonts w:hint="eastAsia" w:ascii="宋体" w:hAnsi="宋体" w:cs="Arial"/>
          <w:kern w:val="0"/>
          <w:sz w:val="24"/>
        </w:rPr>
        <w:t>应当按规定时间</w:t>
      </w:r>
      <w:r>
        <w:rPr>
          <w:rFonts w:ascii="宋体" w:hAnsi="宋体" w:cs="Arial"/>
          <w:kern w:val="0"/>
          <w:sz w:val="24"/>
        </w:rPr>
        <w:t>将</w:t>
      </w:r>
      <w:r>
        <w:rPr>
          <w:rFonts w:hint="eastAsia" w:ascii="宋体" w:hAnsi="宋体" w:cs="Arial"/>
          <w:kern w:val="0"/>
          <w:sz w:val="24"/>
        </w:rPr>
        <w:t>密封</w:t>
      </w:r>
      <w:r>
        <w:rPr>
          <w:rFonts w:ascii="宋体" w:hAnsi="宋体" w:cs="Arial"/>
          <w:kern w:val="0"/>
          <w:sz w:val="24"/>
        </w:rPr>
        <w:t>的响应文件正本和所有副本</w:t>
      </w:r>
      <w:r>
        <w:rPr>
          <w:rFonts w:hint="eastAsia" w:ascii="宋体" w:hAnsi="宋体" w:cs="Arial"/>
          <w:kern w:val="0"/>
          <w:sz w:val="24"/>
        </w:rPr>
        <w:t>送达至谈判地点。</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如果</w:t>
      </w:r>
      <w:r>
        <w:rPr>
          <w:rFonts w:ascii="宋体" w:hAnsi="宋体" w:cs="Arial"/>
          <w:kern w:val="0"/>
          <w:sz w:val="24"/>
        </w:rPr>
        <w:t>采购人和采购代理机构决定</w:t>
      </w:r>
      <w:r>
        <w:rPr>
          <w:rFonts w:hint="eastAsia" w:ascii="宋体" w:hAnsi="宋体" w:cs="Arial"/>
          <w:kern w:val="0"/>
          <w:sz w:val="24"/>
        </w:rPr>
        <w:t>更改</w:t>
      </w:r>
      <w:r>
        <w:rPr>
          <w:rFonts w:ascii="宋体" w:hAnsi="宋体" w:cs="Arial"/>
          <w:kern w:val="0"/>
          <w:sz w:val="24"/>
        </w:rPr>
        <w:t>谈判截止</w:t>
      </w:r>
      <w:r>
        <w:rPr>
          <w:rFonts w:hint="eastAsia" w:ascii="宋体" w:hAnsi="宋体" w:cs="Arial"/>
          <w:kern w:val="0"/>
          <w:sz w:val="24"/>
        </w:rPr>
        <w:t>时间，</w:t>
      </w:r>
      <w:r>
        <w:rPr>
          <w:rFonts w:ascii="宋体" w:hAnsi="宋体" w:cs="Arial"/>
          <w:kern w:val="0"/>
          <w:sz w:val="24"/>
        </w:rPr>
        <w:t>采购代理机构、采购人和供应商受谈判截止</w:t>
      </w:r>
      <w:r>
        <w:rPr>
          <w:rFonts w:hint="eastAsia" w:ascii="宋体" w:hAnsi="宋体" w:cs="Arial"/>
          <w:kern w:val="0"/>
          <w:sz w:val="24"/>
        </w:rPr>
        <w:t>时间</w:t>
      </w:r>
      <w:r>
        <w:rPr>
          <w:rFonts w:ascii="宋体" w:hAnsi="宋体" w:cs="Arial"/>
          <w:kern w:val="0"/>
          <w:sz w:val="24"/>
        </w:rPr>
        <w:t>制约的所有权利和义务均应</w:t>
      </w:r>
      <w:r>
        <w:rPr>
          <w:rFonts w:hint="eastAsia" w:ascii="宋体" w:hAnsi="宋体" w:cs="Arial"/>
          <w:kern w:val="0"/>
          <w:sz w:val="24"/>
        </w:rPr>
        <w:t>以</w:t>
      </w:r>
      <w:r>
        <w:rPr>
          <w:rFonts w:ascii="宋体" w:hAnsi="宋体" w:cs="Arial"/>
          <w:kern w:val="0"/>
          <w:sz w:val="24"/>
        </w:rPr>
        <w:t>新的截止</w:t>
      </w:r>
      <w:r>
        <w:rPr>
          <w:rFonts w:hint="eastAsia" w:ascii="宋体" w:hAnsi="宋体" w:cs="Arial"/>
          <w:kern w:val="0"/>
          <w:sz w:val="24"/>
        </w:rPr>
        <w:t>时间为准</w:t>
      </w:r>
      <w:r>
        <w:rPr>
          <w:rFonts w:ascii="宋体" w:hAnsi="宋体" w:cs="Arial"/>
          <w:kern w:val="0"/>
          <w:sz w:val="24"/>
        </w:rPr>
        <w:t>。</w:t>
      </w:r>
    </w:p>
    <w:p>
      <w:pPr>
        <w:pStyle w:val="16"/>
        <w:tabs>
          <w:tab w:val="left" w:pos="1155"/>
          <w:tab w:val="clear" w:pos="425"/>
          <w:tab w:val="clear" w:pos="1134"/>
        </w:tabs>
        <w:spacing w:before="0" w:after="0"/>
        <w:ind w:left="1157" w:hanging="1157"/>
      </w:pPr>
      <w:bookmarkStart w:id="47" w:name="_Toc18751"/>
      <w:bookmarkStart w:id="48" w:name="_Toc120411816"/>
      <w:bookmarkStart w:id="49" w:name="_Toc535832538"/>
      <w:r>
        <w:t>响应文件的</w:t>
      </w:r>
      <w:r>
        <w:rPr>
          <w:rFonts w:hint="eastAsia"/>
        </w:rPr>
        <w:t>拒收</w:t>
      </w:r>
      <w:bookmarkEnd w:id="47"/>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在截止时间后送达的响应文件，采购人、采购代理机构</w:t>
      </w:r>
      <w:r>
        <w:rPr>
          <w:rFonts w:ascii="宋体" w:hAnsi="宋体" w:cs="Arial"/>
          <w:kern w:val="0"/>
          <w:sz w:val="24"/>
        </w:rPr>
        <w:t>将拒</w:t>
      </w:r>
      <w:r>
        <w:rPr>
          <w:rFonts w:hint="eastAsia" w:ascii="宋体" w:hAnsi="宋体" w:cs="Arial"/>
          <w:kern w:val="0"/>
          <w:sz w:val="24"/>
        </w:rPr>
        <w:t>收</w:t>
      </w:r>
      <w:r>
        <w:rPr>
          <w:rFonts w:ascii="宋体" w:hAnsi="宋体" w:cs="Arial"/>
          <w:kern w:val="0"/>
          <w:sz w:val="24"/>
        </w:rPr>
        <w:t>。</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递交投标文件的代表未按下列要求提供证明材料的，采购人、采购代理机构将拒收。</w:t>
      </w:r>
    </w:p>
    <w:p>
      <w:pPr>
        <w:numPr>
          <w:ilvl w:val="2"/>
          <w:numId w:val="3"/>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法定代表人递交的，持个人有效身份证明（居民身份证、护照、社会保障卡、驾驶证等其中之一）和法定代表人证明书（格式见本谈判文件第六章）。</w:t>
      </w:r>
    </w:p>
    <w:p>
      <w:pPr>
        <w:numPr>
          <w:ilvl w:val="2"/>
          <w:numId w:val="3"/>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法定代表人授权代表递交的，持个人有效身份证明（居民身份证、护照、社会保障卡、驾驶证等其中之一）和法定代表人授权委托书（格式见本谈判文件第六章）。</w:t>
      </w:r>
    </w:p>
    <w:p>
      <w:pPr>
        <w:numPr>
          <w:ilvl w:val="2"/>
          <w:numId w:val="3"/>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身份证明原件应当与复印件保持一致。</w:t>
      </w:r>
    </w:p>
    <w:p>
      <w:pPr>
        <w:pStyle w:val="16"/>
        <w:tabs>
          <w:tab w:val="left" w:pos="1155"/>
          <w:tab w:val="clear" w:pos="425"/>
          <w:tab w:val="clear" w:pos="1134"/>
        </w:tabs>
        <w:spacing w:before="0" w:after="0"/>
        <w:ind w:left="1157" w:hanging="1157"/>
      </w:pPr>
      <w:bookmarkStart w:id="50" w:name="_Toc5977"/>
      <w:r>
        <w:rPr>
          <w:rFonts w:hint="eastAsia"/>
        </w:rPr>
        <w:t>应文件的补充、修改或撤回</w:t>
      </w:r>
      <w:bookmarkEnd w:id="50"/>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在提交响应文件截止时间前，可以对所提交的响应文件进行补充、修改或撤回，并书面通知采购人、采购代理机构；补充、修改的内容应当按照谈判文件要求签署、盖章、密封后，作为响应文件的组成部分。</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除法律规定情形外</w:t>
      </w:r>
      <w:r>
        <w:rPr>
          <w:rFonts w:ascii="宋体" w:hAnsi="宋体" w:cs="Arial"/>
          <w:kern w:val="0"/>
          <w:sz w:val="24"/>
        </w:rPr>
        <w:t>，供应商不得修改其响应文件</w:t>
      </w:r>
      <w:r>
        <w:rPr>
          <w:rFonts w:hint="eastAsia" w:ascii="宋体" w:hAnsi="宋体" w:cs="Arial"/>
          <w:kern w:val="0"/>
          <w:sz w:val="24"/>
        </w:rPr>
        <w:t>，或退出谈判</w:t>
      </w:r>
      <w:r>
        <w:rPr>
          <w:rFonts w:ascii="宋体" w:hAnsi="宋体" w:cs="Arial"/>
          <w:kern w:val="0"/>
          <w:sz w:val="24"/>
        </w:rPr>
        <w:t xml:space="preserve">。 </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供应商所提交的响应文件在谈判结束后，无论成交与否都不退还。</w:t>
      </w:r>
    </w:p>
    <w:bookmarkEnd w:id="48"/>
    <w:bookmarkEnd w:id="49"/>
    <w:p>
      <w:pPr>
        <w:pStyle w:val="16"/>
        <w:tabs>
          <w:tab w:val="left" w:pos="1155"/>
          <w:tab w:val="clear" w:pos="425"/>
          <w:tab w:val="clear" w:pos="1134"/>
        </w:tabs>
        <w:spacing w:before="0" w:after="0"/>
        <w:ind w:left="1157" w:hanging="1157"/>
      </w:pPr>
      <w:bookmarkStart w:id="51" w:name="_Toc29052"/>
      <w:r>
        <w:rPr>
          <w:rFonts w:hint="eastAsia"/>
        </w:rPr>
        <w:t>谈判时间和地点</w:t>
      </w:r>
      <w:bookmarkEnd w:id="51"/>
    </w:p>
    <w:p>
      <w:pPr>
        <w:numPr>
          <w:ilvl w:val="1"/>
          <w:numId w:val="3"/>
        </w:numPr>
        <w:tabs>
          <w:tab w:val="left" w:pos="567"/>
          <w:tab w:val="left" w:pos="1155"/>
        </w:tabs>
        <w:spacing w:line="560" w:lineRule="exact"/>
        <w:ind w:left="1157" w:hanging="1157"/>
        <w:rPr>
          <w:rFonts w:ascii="宋体" w:hAnsi="宋体" w:cs="Arial"/>
          <w:kern w:val="0"/>
          <w:sz w:val="24"/>
        </w:rPr>
      </w:pPr>
      <w:r>
        <w:rPr>
          <w:rFonts w:ascii="宋体" w:hAnsi="宋体" w:cs="Arial"/>
          <w:kern w:val="0"/>
          <w:sz w:val="24"/>
        </w:rPr>
        <w:t>采购代理机构</w:t>
      </w:r>
      <w:r>
        <w:rPr>
          <w:rFonts w:hint="eastAsia" w:ascii="宋体" w:hAnsi="宋体" w:cs="Arial"/>
          <w:kern w:val="0"/>
          <w:sz w:val="24"/>
        </w:rPr>
        <w:t>按供应商须知前附表</w:t>
      </w:r>
      <w:r>
        <w:rPr>
          <w:rFonts w:ascii="宋体" w:hAnsi="宋体" w:cs="Arial"/>
          <w:kern w:val="0"/>
          <w:sz w:val="24"/>
        </w:rPr>
        <w:t>规定的日期、时间和地点</w:t>
      </w:r>
      <w:r>
        <w:rPr>
          <w:rFonts w:hint="eastAsia" w:ascii="宋体" w:hAnsi="宋体" w:cs="Arial"/>
          <w:kern w:val="0"/>
          <w:sz w:val="24"/>
        </w:rPr>
        <w:t>组织谈判</w:t>
      </w:r>
      <w:r>
        <w:rPr>
          <w:rFonts w:ascii="宋体" w:hAnsi="宋体" w:cs="Arial"/>
          <w:kern w:val="0"/>
          <w:sz w:val="24"/>
        </w:rPr>
        <w:t>。</w:t>
      </w:r>
    </w:p>
    <w:p>
      <w:pPr>
        <w:pStyle w:val="16"/>
        <w:tabs>
          <w:tab w:val="left" w:pos="1155"/>
          <w:tab w:val="clear" w:pos="425"/>
          <w:tab w:val="clear" w:pos="1134"/>
        </w:tabs>
        <w:spacing w:before="0" w:after="0"/>
        <w:ind w:left="1157" w:hanging="1157"/>
      </w:pPr>
      <w:bookmarkStart w:id="52" w:name="_Toc14581"/>
      <w:r>
        <w:t>谈判小组的组成和</w:t>
      </w:r>
      <w:r>
        <w:rPr>
          <w:rFonts w:hint="eastAsia"/>
        </w:rPr>
        <w:t>评审办法</w:t>
      </w:r>
      <w:bookmarkEnd w:id="52"/>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谈判小组的组成见供应商须知前附表。</w:t>
      </w:r>
      <w:r>
        <w:rPr>
          <w:rFonts w:hint="eastAsia" w:ascii="宋体" w:hAnsi="宋体" w:cs="宋体"/>
          <w:kern w:val="0"/>
          <w:sz w:val="24"/>
        </w:rPr>
        <w:t>采购人若参加</w:t>
      </w:r>
      <w:r>
        <w:rPr>
          <w:rFonts w:hint="eastAsia" w:ascii="宋体" w:hAnsi="宋体" w:cs="Arial"/>
          <w:kern w:val="0"/>
          <w:sz w:val="24"/>
        </w:rPr>
        <w:t>谈判小组的，应当委派</w:t>
      </w:r>
      <w:r>
        <w:rPr>
          <w:rFonts w:hint="eastAsia" w:ascii="宋体" w:hAnsi="宋体" w:cs="宋体"/>
          <w:kern w:val="0"/>
          <w:sz w:val="24"/>
        </w:rPr>
        <w:t>代表</w:t>
      </w:r>
      <w:r>
        <w:rPr>
          <w:rFonts w:hint="eastAsia" w:ascii="宋体" w:hAnsi="宋体" w:cs="Arial"/>
          <w:kern w:val="0"/>
          <w:sz w:val="24"/>
        </w:rPr>
        <w:t>并出具</w:t>
      </w:r>
      <w:r>
        <w:rPr>
          <w:rFonts w:hint="eastAsia" w:ascii="宋体" w:hAnsi="宋体" w:cs="宋体"/>
          <w:kern w:val="0"/>
          <w:sz w:val="24"/>
        </w:rPr>
        <w:t>授权函。</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谈判小组设组长1名，由谈判小组成员选举确定（但采购人代表不得担任），组长与其他成员有同等评审权，仅负责组织评审活动，不得干预谈判小组其他成员的评审。</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谈判小组全体成员必须遵守评审纪律。</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本</w:t>
      </w:r>
      <w:r>
        <w:rPr>
          <w:rFonts w:hint="eastAsia" w:ascii="宋体" w:hAnsi="宋体" w:cs="Arial"/>
          <w:kern w:val="0"/>
          <w:sz w:val="24"/>
        </w:rPr>
        <w:t>项目</w:t>
      </w:r>
      <w:r>
        <w:rPr>
          <w:rFonts w:ascii="宋体" w:hAnsi="宋体" w:cs="Arial"/>
          <w:kern w:val="0"/>
          <w:sz w:val="24"/>
        </w:rPr>
        <w:t>评</w:t>
      </w:r>
      <w:r>
        <w:rPr>
          <w:rFonts w:hint="eastAsia" w:ascii="宋体" w:hAnsi="宋体" w:cs="Arial"/>
          <w:kern w:val="0"/>
          <w:sz w:val="24"/>
        </w:rPr>
        <w:t>审办法详</w:t>
      </w:r>
      <w:r>
        <w:rPr>
          <w:rFonts w:ascii="宋体" w:hAnsi="宋体" w:cs="Arial"/>
          <w:kern w:val="0"/>
          <w:sz w:val="24"/>
        </w:rPr>
        <w:t>见第</w:t>
      </w:r>
      <w:r>
        <w:rPr>
          <w:rFonts w:hint="eastAsia" w:ascii="宋体" w:hAnsi="宋体" w:cs="Arial"/>
          <w:kern w:val="0"/>
          <w:sz w:val="24"/>
        </w:rPr>
        <w:t>四</w:t>
      </w:r>
      <w:r>
        <w:rPr>
          <w:rFonts w:ascii="宋体" w:hAnsi="宋体" w:cs="Arial"/>
          <w:kern w:val="0"/>
          <w:sz w:val="24"/>
        </w:rPr>
        <w:t>章</w:t>
      </w:r>
      <w:r>
        <w:rPr>
          <w:rFonts w:hint="eastAsia" w:ascii="宋体" w:hAnsi="宋体" w:cs="Arial"/>
          <w:kern w:val="0"/>
          <w:sz w:val="24"/>
        </w:rPr>
        <w:t>《评审办法》</w:t>
      </w:r>
      <w:r>
        <w:rPr>
          <w:rFonts w:ascii="宋体" w:hAnsi="宋体" w:cs="Arial"/>
          <w:kern w:val="0"/>
          <w:sz w:val="24"/>
        </w:rPr>
        <w:t>。</w:t>
      </w:r>
      <w:r>
        <w:rPr>
          <w:rFonts w:hint="eastAsia" w:ascii="宋体" w:hAnsi="宋体" w:cs="Arial"/>
          <w:kern w:val="0"/>
          <w:sz w:val="24"/>
        </w:rPr>
        <w:t>谈判文件没有规定的</w:t>
      </w:r>
      <w:r>
        <w:rPr>
          <w:rFonts w:ascii="宋体" w:hAnsi="宋体" w:cs="Arial"/>
          <w:kern w:val="0"/>
          <w:sz w:val="24"/>
        </w:rPr>
        <w:t>评审办法及</w:t>
      </w:r>
      <w:r>
        <w:rPr>
          <w:rFonts w:hint="eastAsia" w:ascii="宋体" w:hAnsi="宋体" w:cs="Arial"/>
          <w:kern w:val="0"/>
          <w:sz w:val="24"/>
        </w:rPr>
        <w:t>原则不得作为评审的依据。</w:t>
      </w:r>
    </w:p>
    <w:p>
      <w:pPr>
        <w:pStyle w:val="16"/>
        <w:tabs>
          <w:tab w:val="left" w:pos="1155"/>
          <w:tab w:val="clear" w:pos="425"/>
          <w:tab w:val="clear" w:pos="1134"/>
        </w:tabs>
        <w:spacing w:before="0" w:after="0"/>
        <w:ind w:left="1157" w:hanging="1157"/>
      </w:pPr>
      <w:bookmarkStart w:id="53" w:name="_Toc14159"/>
      <w:r>
        <w:rPr>
          <w:rFonts w:hint="eastAsia"/>
        </w:rPr>
        <w:t>谈判程序</w:t>
      </w:r>
      <w:bookmarkEnd w:id="53"/>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宣布谈判会纪律。</w:t>
      </w:r>
    </w:p>
    <w:p>
      <w:pPr>
        <w:numPr>
          <w:ilvl w:val="1"/>
          <w:numId w:val="3"/>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介绍谈判项目情况。</w:t>
      </w:r>
    </w:p>
    <w:p>
      <w:pPr>
        <w:numPr>
          <w:ilvl w:val="1"/>
          <w:numId w:val="3"/>
        </w:numPr>
        <w:tabs>
          <w:tab w:val="left" w:pos="567"/>
          <w:tab w:val="left" w:pos="1155"/>
        </w:tabs>
        <w:spacing w:line="560" w:lineRule="exact"/>
        <w:ind w:left="1157" w:hanging="1157"/>
        <w:rPr>
          <w:rFonts w:ascii="宋体" w:hAnsi="宋体" w:cs="Arial"/>
          <w:kern w:val="0"/>
          <w:sz w:val="24"/>
        </w:rPr>
      </w:pPr>
      <w:r>
        <w:rPr>
          <w:rFonts w:ascii="宋体" w:hAnsi="宋体" w:cs="Arial"/>
          <w:kern w:val="0"/>
          <w:sz w:val="24"/>
        </w:rPr>
        <w:t>介绍参加</w:t>
      </w:r>
      <w:r>
        <w:rPr>
          <w:rFonts w:hint="eastAsia" w:ascii="宋体" w:hAnsi="宋体" w:cs="Arial"/>
          <w:kern w:val="0"/>
          <w:sz w:val="24"/>
        </w:rPr>
        <w:t>谈判</w:t>
      </w:r>
      <w:r>
        <w:rPr>
          <w:rFonts w:ascii="宋体" w:hAnsi="宋体" w:cs="Arial"/>
          <w:kern w:val="0"/>
          <w:sz w:val="24"/>
        </w:rPr>
        <w:t>会的单位和人员</w:t>
      </w:r>
      <w:r>
        <w:rPr>
          <w:rFonts w:hint="eastAsia" w:ascii="宋体" w:hAnsi="宋体" w:cs="Arial"/>
          <w:kern w:val="0"/>
          <w:sz w:val="24"/>
        </w:rPr>
        <w:t>，供应商认为采购人、采购代理机构、谈判小组成员及相关工作人员有需要回避的情形的，应当场提出回避申请。采购人、采购代理机构对供应商代表提出的回避申请应当及时处理。</w:t>
      </w:r>
    </w:p>
    <w:p>
      <w:pPr>
        <w:numPr>
          <w:ilvl w:val="1"/>
          <w:numId w:val="3"/>
        </w:numPr>
        <w:tabs>
          <w:tab w:val="left" w:pos="567"/>
          <w:tab w:val="left" w:pos="1155"/>
        </w:tabs>
        <w:spacing w:line="560" w:lineRule="exact"/>
        <w:ind w:left="1157" w:hanging="1157"/>
        <w:rPr>
          <w:rFonts w:ascii="宋体" w:hAnsi="宋体" w:cs="Arial"/>
          <w:spacing w:val="-1"/>
          <w:kern w:val="0"/>
          <w:sz w:val="24"/>
        </w:rPr>
      </w:pPr>
      <w:r>
        <w:rPr>
          <w:rFonts w:hint="eastAsia" w:ascii="宋体" w:hAnsi="宋体" w:cs="Arial"/>
          <w:kern w:val="0"/>
          <w:sz w:val="24"/>
        </w:rPr>
        <w:t>由供应商或其推选的代表查验响应文件密封情况。</w:t>
      </w:r>
    </w:p>
    <w:p>
      <w:pPr>
        <w:numPr>
          <w:ilvl w:val="1"/>
          <w:numId w:val="3"/>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供应商通过抽签确定谈判顺序。</w:t>
      </w:r>
    </w:p>
    <w:p>
      <w:pPr>
        <w:numPr>
          <w:ilvl w:val="1"/>
          <w:numId w:val="3"/>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启封响应文件</w:t>
      </w:r>
      <w:r>
        <w:rPr>
          <w:rFonts w:ascii="宋体" w:hAnsi="宋体" w:cs="Arial"/>
          <w:kern w:val="0"/>
          <w:sz w:val="24"/>
        </w:rPr>
        <w:t>，</w:t>
      </w:r>
      <w:r>
        <w:rPr>
          <w:rFonts w:hint="eastAsia" w:ascii="宋体" w:hAnsi="宋体" w:cs="Arial"/>
          <w:kern w:val="0"/>
          <w:sz w:val="24"/>
        </w:rPr>
        <w:t>由</w:t>
      </w:r>
      <w:r>
        <w:rPr>
          <w:rFonts w:ascii="宋体" w:hAnsi="宋体" w:cs="Arial"/>
          <w:kern w:val="0"/>
          <w:sz w:val="24"/>
        </w:rPr>
        <w:t>谈判小组按照本谈判文件第</w:t>
      </w:r>
      <w:r>
        <w:rPr>
          <w:rFonts w:hint="eastAsia" w:ascii="宋体" w:hAnsi="宋体" w:cs="Arial"/>
          <w:kern w:val="0"/>
          <w:sz w:val="24"/>
        </w:rPr>
        <w:t>四</w:t>
      </w:r>
      <w:r>
        <w:rPr>
          <w:rFonts w:ascii="宋体" w:hAnsi="宋体" w:cs="Arial"/>
          <w:kern w:val="0"/>
          <w:sz w:val="24"/>
        </w:rPr>
        <w:t>章规定的资格性审查和符合性审查程序、办法和标准，对供应商进行资格性审查和符合性审查，通过资格性审查和符合性审查的供应商方可进入</w:t>
      </w:r>
      <w:r>
        <w:rPr>
          <w:rFonts w:hint="eastAsia" w:ascii="宋体" w:hAnsi="宋体" w:cs="Arial"/>
          <w:kern w:val="0"/>
          <w:sz w:val="24"/>
        </w:rPr>
        <w:t>正式</w:t>
      </w:r>
      <w:r>
        <w:rPr>
          <w:rFonts w:ascii="宋体" w:hAnsi="宋体" w:cs="Arial"/>
          <w:kern w:val="0"/>
          <w:sz w:val="24"/>
        </w:rPr>
        <w:t>谈判。</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正式</w:t>
      </w:r>
      <w:r>
        <w:rPr>
          <w:rFonts w:ascii="宋体" w:hAnsi="宋体" w:cs="Arial"/>
          <w:kern w:val="0"/>
          <w:sz w:val="24"/>
        </w:rPr>
        <w:t>谈判</w:t>
      </w:r>
      <w:r>
        <w:rPr>
          <w:rFonts w:hint="eastAsia" w:ascii="宋体" w:hAnsi="宋体" w:cs="Arial"/>
          <w:kern w:val="0"/>
          <w:sz w:val="24"/>
        </w:rPr>
        <w:t>程序：</w:t>
      </w:r>
    </w:p>
    <w:p>
      <w:pPr>
        <w:numPr>
          <w:ilvl w:val="2"/>
          <w:numId w:val="3"/>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按抽签顺序，每一供应商单独进入谈判会场，由谈判小组所有成员集中与之进行谈判；上一供应商未退出谈判会场时，下一供应商不得入场。</w:t>
      </w:r>
    </w:p>
    <w:p>
      <w:pPr>
        <w:numPr>
          <w:ilvl w:val="2"/>
          <w:numId w:val="3"/>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将以书面形式同时通知所有供应商。 </w:t>
      </w:r>
    </w:p>
    <w:p>
      <w:pPr>
        <w:tabs>
          <w:tab w:val="left" w:pos="1155"/>
        </w:tabs>
        <w:spacing w:line="560" w:lineRule="exact"/>
        <w:ind w:left="1157"/>
        <w:rPr>
          <w:rFonts w:ascii="宋体" w:hAnsi="宋体" w:cs="Arial"/>
          <w:kern w:val="0"/>
          <w:sz w:val="24"/>
        </w:rPr>
      </w:pPr>
      <w:r>
        <w:rPr>
          <w:rFonts w:ascii="宋体" w:hAnsi="宋体" w:cs="Arial"/>
          <w:kern w:val="0"/>
          <w:sz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宋体" w:hAnsi="宋体" w:cs="Arial"/>
          <w:kern w:val="0"/>
          <w:sz w:val="24"/>
        </w:rPr>
        <w:t>如</w:t>
      </w:r>
      <w:r>
        <w:rPr>
          <w:rFonts w:ascii="宋体" w:hAnsi="宋体" w:cs="Arial"/>
          <w:kern w:val="0"/>
          <w:sz w:val="24"/>
        </w:rPr>
        <w:t>有需要，谈判小组可进行多轮谈判，直至最终确定谈判文件中的技术、服务要求以及合同草案条款</w:t>
      </w:r>
      <w:r>
        <w:rPr>
          <w:rFonts w:hint="eastAsia" w:ascii="宋体" w:hAnsi="宋体" w:cs="Arial"/>
          <w:kern w:val="0"/>
          <w:sz w:val="24"/>
        </w:rPr>
        <w:t>，但应当给予所有参加谈判的供应商平等的谈判机会。</w:t>
      </w:r>
    </w:p>
    <w:p>
      <w:pPr>
        <w:numPr>
          <w:ilvl w:val="2"/>
          <w:numId w:val="3"/>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最后报价 </w:t>
      </w:r>
    </w:p>
    <w:p>
      <w:pPr>
        <w:tabs>
          <w:tab w:val="left" w:pos="1155"/>
        </w:tabs>
        <w:spacing w:line="560" w:lineRule="exact"/>
        <w:ind w:left="1157"/>
        <w:rPr>
          <w:rFonts w:ascii="宋体" w:hAnsi="宋体" w:cs="Arial"/>
          <w:kern w:val="0"/>
          <w:sz w:val="24"/>
        </w:rPr>
      </w:pPr>
      <w:r>
        <w:rPr>
          <w:rFonts w:hint="eastAsia" w:ascii="宋体" w:hAnsi="宋体" w:cs="Arial"/>
          <w:kern w:val="0"/>
          <w:sz w:val="24"/>
        </w:rPr>
        <w:t>第1种情形：</w:t>
      </w:r>
      <w:r>
        <w:rPr>
          <w:rFonts w:ascii="宋体" w:hAnsi="宋体" w:cs="Arial"/>
          <w:kern w:val="0"/>
          <w:sz w:val="24"/>
        </w:rPr>
        <w:t xml:space="preserve">谈判文件能够详细列明采购标的的技术、服务要求的，谈判结束后，谈判小组应当要求所有继续参加谈判的供应商在规定时间内提交最后报价，提交最后报价的供应商不得少于3家。 </w:t>
      </w:r>
    </w:p>
    <w:p>
      <w:pPr>
        <w:tabs>
          <w:tab w:val="left" w:pos="1155"/>
        </w:tabs>
        <w:spacing w:line="560" w:lineRule="exact"/>
        <w:ind w:left="1157"/>
        <w:rPr>
          <w:rFonts w:ascii="宋体" w:hAnsi="宋体" w:cs="Arial"/>
          <w:kern w:val="0"/>
          <w:sz w:val="24"/>
        </w:rPr>
      </w:pPr>
      <w:r>
        <w:rPr>
          <w:rFonts w:hint="eastAsia" w:ascii="宋体" w:hAnsi="宋体" w:cs="Arial"/>
          <w:kern w:val="0"/>
          <w:sz w:val="24"/>
        </w:rPr>
        <w:t>第2种情形：</w:t>
      </w:r>
      <w:r>
        <w:rPr>
          <w:rFonts w:ascii="宋体" w:hAnsi="宋体" w:cs="Arial"/>
          <w:kern w:val="0"/>
          <w:sz w:val="24"/>
        </w:rPr>
        <w:t xml:space="preserve">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 </w:t>
      </w:r>
    </w:p>
    <w:p>
      <w:pPr>
        <w:tabs>
          <w:tab w:val="left" w:pos="1155"/>
        </w:tabs>
        <w:spacing w:line="560" w:lineRule="exact"/>
        <w:ind w:left="1157"/>
        <w:rPr>
          <w:rFonts w:ascii="宋体" w:hAnsi="宋体" w:cs="Arial"/>
          <w:kern w:val="0"/>
          <w:sz w:val="24"/>
        </w:rPr>
      </w:pPr>
      <w:r>
        <w:rPr>
          <w:rFonts w:ascii="宋体" w:hAnsi="宋体" w:cs="Arial"/>
          <w:kern w:val="0"/>
          <w:sz w:val="24"/>
        </w:rPr>
        <w:t xml:space="preserve">本采购项目提交最后报价供应商的确定方式详见《供应商须知前附表》。 </w:t>
      </w:r>
    </w:p>
    <w:p>
      <w:pPr>
        <w:numPr>
          <w:ilvl w:val="2"/>
          <w:numId w:val="3"/>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已提交响应文件的供应商，在提交最后报价之前，可以根据谈判情况退出谈判。 </w:t>
      </w:r>
    </w:p>
    <w:p>
      <w:pPr>
        <w:numPr>
          <w:ilvl w:val="2"/>
          <w:numId w:val="3"/>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供应商采取密封形式提交最后报价。依据抽签顺序依次单独进入谈判现场向谈判小组公布其最后报价，最后报价将作为供应商综合评审的价格依据。</w:t>
      </w:r>
    </w:p>
    <w:p>
      <w:pPr>
        <w:numPr>
          <w:ilvl w:val="2"/>
          <w:numId w:val="3"/>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采购代理机构对谈判过程进行记录，最</w:t>
      </w:r>
      <w:r>
        <w:rPr>
          <w:rFonts w:hint="eastAsia" w:ascii="宋体" w:hAnsi="宋体" w:cs="Arial"/>
          <w:kern w:val="0"/>
          <w:sz w:val="24"/>
        </w:rPr>
        <w:t>后</w:t>
      </w:r>
      <w:r>
        <w:rPr>
          <w:rFonts w:ascii="宋体" w:hAnsi="宋体" w:cs="Arial"/>
          <w:kern w:val="0"/>
          <w:sz w:val="24"/>
        </w:rPr>
        <w:t>报价后</w:t>
      </w:r>
      <w:r>
        <w:rPr>
          <w:rFonts w:hint="eastAsia" w:ascii="宋体" w:hAnsi="宋体" w:cs="Arial"/>
          <w:kern w:val="0"/>
          <w:sz w:val="24"/>
        </w:rPr>
        <w:t>由供应商和相关各</w:t>
      </w:r>
      <w:r>
        <w:rPr>
          <w:rFonts w:ascii="宋体" w:hAnsi="宋体" w:cs="Arial"/>
          <w:kern w:val="0"/>
          <w:sz w:val="24"/>
        </w:rPr>
        <w:t>方在记录上签字确认</w:t>
      </w:r>
      <w:r>
        <w:rPr>
          <w:rFonts w:hint="eastAsia" w:ascii="宋体" w:hAnsi="宋体" w:cs="Arial"/>
          <w:kern w:val="0"/>
          <w:sz w:val="24"/>
        </w:rPr>
        <w:t>，随后供应商离场。</w:t>
      </w:r>
    </w:p>
    <w:p>
      <w:pPr>
        <w:numPr>
          <w:ilvl w:val="2"/>
          <w:numId w:val="3"/>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谈判小组</w:t>
      </w:r>
      <w:r>
        <w:rPr>
          <w:rFonts w:ascii="宋体" w:hAnsi="宋体" w:cs="Arial"/>
          <w:kern w:val="0"/>
          <w:sz w:val="24"/>
        </w:rPr>
        <w:t>根据谈判文件第</w:t>
      </w:r>
      <w:r>
        <w:rPr>
          <w:rFonts w:hint="eastAsia" w:ascii="宋体" w:hAnsi="宋体" w:cs="Arial"/>
          <w:kern w:val="0"/>
          <w:sz w:val="24"/>
        </w:rPr>
        <w:t>四</w:t>
      </w:r>
      <w:r>
        <w:rPr>
          <w:rFonts w:ascii="宋体" w:hAnsi="宋体" w:cs="Arial"/>
          <w:kern w:val="0"/>
          <w:sz w:val="24"/>
        </w:rPr>
        <w:t>章规定</w:t>
      </w:r>
      <w:r>
        <w:rPr>
          <w:rFonts w:hint="eastAsia" w:ascii="宋体" w:hAnsi="宋体" w:cs="Arial"/>
          <w:kern w:val="0"/>
          <w:sz w:val="24"/>
        </w:rPr>
        <w:t>的《评审办法》进行评审，</w:t>
      </w:r>
      <w:r>
        <w:rPr>
          <w:rFonts w:ascii="宋体" w:hAnsi="宋体" w:cs="Arial"/>
          <w:kern w:val="0"/>
          <w:sz w:val="24"/>
        </w:rPr>
        <w:t>推荐成交候选供应商</w:t>
      </w:r>
      <w:r>
        <w:rPr>
          <w:rFonts w:hint="eastAsia" w:ascii="宋体" w:hAnsi="宋体" w:cs="Arial"/>
          <w:kern w:val="0"/>
          <w:sz w:val="24"/>
        </w:rPr>
        <w:t>，</w:t>
      </w:r>
      <w:r>
        <w:rPr>
          <w:rFonts w:ascii="宋体" w:hAnsi="宋体" w:cs="Arial"/>
          <w:kern w:val="0"/>
          <w:sz w:val="24"/>
        </w:rPr>
        <w:t>成交候选供应商</w:t>
      </w:r>
      <w:r>
        <w:rPr>
          <w:rFonts w:hint="eastAsia" w:ascii="宋体" w:hAnsi="宋体" w:cs="Arial"/>
          <w:kern w:val="0"/>
          <w:sz w:val="24"/>
        </w:rPr>
        <w:t>数量见《供应商须知前附表》</w:t>
      </w:r>
      <w:r>
        <w:rPr>
          <w:rFonts w:ascii="宋体" w:hAnsi="宋体" w:cs="Arial"/>
          <w:kern w:val="0"/>
          <w:sz w:val="24"/>
        </w:rPr>
        <w:t xml:space="preserve">。 </w:t>
      </w:r>
    </w:p>
    <w:p>
      <w:pPr>
        <w:pStyle w:val="3"/>
      </w:pPr>
      <w:bookmarkStart w:id="54" w:name="_Toc136229090"/>
      <w:bookmarkStart w:id="55" w:name="_Toc120411834"/>
      <w:bookmarkStart w:id="56" w:name="_Toc535814466"/>
      <w:bookmarkStart w:id="57" w:name="_Toc535815711"/>
      <w:bookmarkStart w:id="58" w:name="_Toc535891855"/>
      <w:bookmarkStart w:id="59" w:name="_Toc535832555"/>
      <w:bookmarkStart w:id="60" w:name="_Toc535891688"/>
      <w:r>
        <w:br w:type="page"/>
      </w:r>
      <w:bookmarkStart w:id="61" w:name="_Toc1501"/>
      <w:r>
        <w:rPr>
          <w:rFonts w:hint="eastAsia"/>
        </w:rPr>
        <w:t xml:space="preserve">第三章 </w:t>
      </w:r>
      <w:bookmarkEnd w:id="54"/>
      <w:r>
        <w:rPr>
          <w:rFonts w:hint="eastAsia"/>
        </w:rPr>
        <w:t>项目采购需求</w:t>
      </w:r>
      <w:bookmarkEnd w:id="61"/>
    </w:p>
    <w:bookmarkEnd w:id="55"/>
    <w:bookmarkEnd w:id="56"/>
    <w:bookmarkEnd w:id="57"/>
    <w:bookmarkEnd w:id="58"/>
    <w:bookmarkEnd w:id="59"/>
    <w:bookmarkEnd w:id="60"/>
    <w:p>
      <w:pPr>
        <w:spacing w:line="500" w:lineRule="exact"/>
        <w:ind w:firstLine="480" w:firstLineChars="200"/>
        <w:rPr>
          <w:rFonts w:ascii="宋体" w:hAnsi="宋体"/>
          <w:sz w:val="24"/>
        </w:rPr>
      </w:pPr>
      <w:bookmarkStart w:id="62" w:name="_Toc120411848"/>
      <w:bookmarkStart w:id="63" w:name="_Toc22743"/>
      <w:bookmarkStart w:id="64" w:name="_Toc535815712"/>
      <w:r>
        <w:rPr>
          <w:rFonts w:hint="eastAsia" w:ascii="宋体" w:hAnsi="宋体"/>
          <w:sz w:val="24"/>
        </w:rPr>
        <w:t>一、项目基本情况</w:t>
      </w:r>
    </w:p>
    <w:p>
      <w:pPr>
        <w:spacing w:line="500" w:lineRule="exact"/>
        <w:ind w:firstLine="480" w:firstLineChars="200"/>
        <w:rPr>
          <w:rFonts w:hint="default" w:ascii="宋体" w:hAnsi="宋体"/>
          <w:sz w:val="24"/>
          <w:lang w:val="en-US"/>
        </w:rPr>
      </w:pPr>
      <w:r>
        <w:rPr>
          <w:rFonts w:hint="eastAsia" w:ascii="宋体" w:hAnsi="宋体"/>
          <w:sz w:val="24"/>
        </w:rPr>
        <w:t>1、项目名称：</w:t>
      </w:r>
      <w:r>
        <w:rPr>
          <w:rFonts w:hint="eastAsia" w:ascii="宋体" w:hAnsi="宋体"/>
          <w:sz w:val="24"/>
          <w:lang w:val="en-US" w:eastAsia="zh-CN"/>
        </w:rPr>
        <w:t>黄石市中心医院6号楼无线网络维护项目</w:t>
      </w:r>
    </w:p>
    <w:p>
      <w:pPr>
        <w:spacing w:line="500" w:lineRule="exact"/>
        <w:ind w:firstLine="480" w:firstLineChars="200"/>
        <w:rPr>
          <w:rFonts w:ascii="宋体" w:hAnsi="宋体"/>
          <w:sz w:val="24"/>
        </w:rPr>
      </w:pPr>
      <w:r>
        <w:rPr>
          <w:rFonts w:hint="eastAsia" w:ascii="宋体" w:hAnsi="宋体"/>
          <w:sz w:val="24"/>
        </w:rPr>
        <w:t>2、采购方式：竞争性谈判</w:t>
      </w:r>
    </w:p>
    <w:p>
      <w:pPr>
        <w:spacing w:line="500" w:lineRule="exact"/>
        <w:ind w:firstLine="480" w:firstLineChars="200"/>
        <w:rPr>
          <w:rFonts w:hint="default" w:ascii="宋体" w:hAnsi="宋体"/>
          <w:sz w:val="24"/>
          <w:lang w:val="en-US" w:eastAsia="zh-CN"/>
        </w:rPr>
      </w:pPr>
      <w:r>
        <w:rPr>
          <w:rFonts w:hint="eastAsia" w:ascii="宋体" w:hAnsi="宋体"/>
          <w:sz w:val="24"/>
        </w:rPr>
        <w:t>3、最高限价：</w:t>
      </w:r>
      <w:r>
        <w:rPr>
          <w:rFonts w:hint="eastAsia" w:ascii="宋体" w:hAnsi="宋体"/>
          <w:sz w:val="24"/>
          <w:lang w:val="en-US" w:eastAsia="zh-CN"/>
        </w:rPr>
        <w:t>5万元</w:t>
      </w:r>
    </w:p>
    <w:p>
      <w:pPr>
        <w:spacing w:line="500" w:lineRule="exact"/>
        <w:ind w:firstLine="480" w:firstLineChars="200"/>
        <w:rPr>
          <w:rFonts w:hint="eastAsia" w:ascii="宋体" w:hAnsi="宋体"/>
          <w:sz w:val="24"/>
        </w:rPr>
      </w:pPr>
      <w:r>
        <w:rPr>
          <w:rFonts w:hint="eastAsia" w:ascii="宋体" w:hAnsi="宋体"/>
          <w:sz w:val="24"/>
        </w:rPr>
        <w:t>4、采购需求：</w:t>
      </w:r>
      <w:r>
        <w:rPr>
          <w:rFonts w:hint="eastAsia" w:ascii="宋体" w:hAnsi="宋体"/>
          <w:sz w:val="24"/>
          <w:lang w:val="en-US" w:eastAsia="zh-CN"/>
        </w:rPr>
        <w:t>无线网络维护项目</w:t>
      </w:r>
      <w:r>
        <w:rPr>
          <w:rFonts w:hint="eastAsia" w:ascii="宋体" w:hAnsi="宋体"/>
          <w:sz w:val="24"/>
        </w:rPr>
        <w:t>。</w:t>
      </w:r>
    </w:p>
    <w:p>
      <w:pPr>
        <w:spacing w:line="500" w:lineRule="exact"/>
        <w:ind w:firstLine="480" w:firstLineChars="200"/>
        <w:rPr>
          <w:rFonts w:ascii="宋体" w:hAnsi="宋体"/>
          <w:sz w:val="24"/>
        </w:rPr>
      </w:pPr>
      <w:r>
        <w:rPr>
          <w:rFonts w:hint="eastAsia" w:ascii="宋体" w:hAnsi="宋体"/>
          <w:sz w:val="24"/>
        </w:rPr>
        <w:t>5、本项目不接受联合体响应</w:t>
      </w:r>
    </w:p>
    <w:p>
      <w:pPr>
        <w:tabs>
          <w:tab w:val="center" w:pos="4394"/>
        </w:tabs>
        <w:ind w:firstLine="482"/>
        <w:rPr>
          <w:rFonts w:hint="eastAsia" w:cs="宋体"/>
          <w:b/>
        </w:rPr>
      </w:pPr>
    </w:p>
    <w:p>
      <w:pPr>
        <w:tabs>
          <w:tab w:val="center" w:pos="4394"/>
        </w:tabs>
        <w:ind w:firstLine="482"/>
        <w:rPr>
          <w:rFonts w:cs="宋体"/>
          <w:b/>
        </w:rPr>
      </w:pPr>
      <w:r>
        <w:rPr>
          <w:rFonts w:hint="eastAsia" w:cs="宋体"/>
          <w:b/>
          <w:lang w:val="en-US" w:eastAsia="zh-CN"/>
        </w:rPr>
        <w:t>二</w:t>
      </w:r>
      <w:r>
        <w:rPr>
          <w:rFonts w:hint="eastAsia" w:cs="宋体"/>
          <w:b/>
        </w:rPr>
        <w:t>、技术要求</w:t>
      </w:r>
    </w:p>
    <w:p>
      <w:pPr>
        <w:tabs>
          <w:tab w:val="center" w:pos="4394"/>
        </w:tabs>
        <w:ind w:firstLine="482"/>
        <w:rPr>
          <w:rFonts w:cs="宋体"/>
          <w:b/>
        </w:rPr>
      </w:pPr>
    </w:p>
    <w:p>
      <w:pPr>
        <w:ind w:firstLine="482" w:firstLineChars="200"/>
        <w:rPr>
          <w:rFonts w:hAnsi="宋体"/>
          <w:b/>
          <w:bCs/>
          <w:sz w:val="24"/>
          <w:szCs w:val="24"/>
        </w:rPr>
      </w:pPr>
      <w:r>
        <w:rPr>
          <w:rFonts w:hint="eastAsia" w:hAnsi="宋体"/>
          <w:b/>
          <w:bCs/>
          <w:sz w:val="24"/>
          <w:szCs w:val="24"/>
        </w:rPr>
        <w:t>项目背景：</w:t>
      </w:r>
      <w:r>
        <w:rPr>
          <w:rFonts w:hint="eastAsia" w:hAnsi="宋体"/>
          <w:bCs/>
          <w:sz w:val="24"/>
          <w:szCs w:val="24"/>
        </w:rPr>
        <w:t>黄石市中心医院是鄂东南地区一家大型的三级甲等公立医院。新建的6号楼（急诊楼）于2</w:t>
      </w:r>
      <w:r>
        <w:rPr>
          <w:rFonts w:hAnsi="宋体"/>
          <w:bCs/>
          <w:sz w:val="24"/>
          <w:szCs w:val="24"/>
        </w:rPr>
        <w:t>017</w:t>
      </w:r>
      <w:r>
        <w:rPr>
          <w:rFonts w:hint="eastAsia" w:hAnsi="宋体"/>
          <w:bCs/>
          <w:sz w:val="24"/>
          <w:szCs w:val="24"/>
        </w:rPr>
        <w:t>年正式投入使用。6号楼使用了H</w:t>
      </w:r>
      <w:r>
        <w:rPr>
          <w:rFonts w:hAnsi="宋体"/>
          <w:bCs/>
          <w:sz w:val="24"/>
          <w:szCs w:val="24"/>
        </w:rPr>
        <w:t>3C</w:t>
      </w:r>
      <w:r>
        <w:rPr>
          <w:rFonts w:hint="eastAsia" w:hAnsi="宋体"/>
          <w:bCs/>
          <w:sz w:val="24"/>
          <w:szCs w:val="24"/>
        </w:rPr>
        <w:t>的无线控制器W</w:t>
      </w:r>
      <w:r>
        <w:rPr>
          <w:rFonts w:hAnsi="宋体"/>
          <w:bCs/>
          <w:sz w:val="24"/>
          <w:szCs w:val="24"/>
        </w:rPr>
        <w:t>X5540E</w:t>
      </w:r>
      <w:r>
        <w:rPr>
          <w:rFonts w:hint="eastAsia" w:hAnsi="宋体"/>
          <w:bCs/>
          <w:sz w:val="24"/>
          <w:szCs w:val="24"/>
        </w:rPr>
        <w:t>及</w:t>
      </w:r>
      <w:r>
        <w:rPr>
          <w:rFonts w:hAnsi="宋体"/>
          <w:bCs/>
          <w:sz w:val="24"/>
          <w:szCs w:val="24"/>
        </w:rPr>
        <w:t>WA2610i-GN</w:t>
      </w:r>
      <w:r>
        <w:rPr>
          <w:rFonts w:hint="eastAsia" w:hAnsi="宋体"/>
          <w:bCs/>
          <w:sz w:val="24"/>
          <w:szCs w:val="24"/>
        </w:rPr>
        <w:t>、</w:t>
      </w:r>
      <w:r>
        <w:rPr>
          <w:rFonts w:hAnsi="宋体"/>
          <w:bCs/>
          <w:sz w:val="24"/>
          <w:szCs w:val="24"/>
        </w:rPr>
        <w:t>WA2620E-X</w:t>
      </w:r>
      <w:r>
        <w:rPr>
          <w:rFonts w:hint="eastAsia" w:hAnsi="宋体"/>
          <w:bCs/>
          <w:sz w:val="24"/>
          <w:szCs w:val="24"/>
        </w:rPr>
        <w:t>、</w:t>
      </w:r>
      <w:r>
        <w:rPr>
          <w:rFonts w:hAnsi="宋体"/>
          <w:bCs/>
          <w:sz w:val="24"/>
          <w:szCs w:val="24"/>
        </w:rPr>
        <w:t>WA4320-ACN-D</w:t>
      </w:r>
      <w:r>
        <w:rPr>
          <w:rFonts w:hint="eastAsia" w:hAnsi="宋体"/>
          <w:bCs/>
          <w:sz w:val="24"/>
          <w:szCs w:val="24"/>
        </w:rPr>
        <w:t>、</w:t>
      </w:r>
      <w:r>
        <w:rPr>
          <w:rFonts w:hAnsi="宋体"/>
          <w:bCs/>
          <w:sz w:val="24"/>
          <w:szCs w:val="24"/>
        </w:rPr>
        <w:t>WA4320-ACN</w:t>
      </w:r>
      <w:r>
        <w:rPr>
          <w:rFonts w:hint="eastAsia" w:hAnsi="宋体"/>
          <w:bCs/>
          <w:sz w:val="24"/>
          <w:szCs w:val="24"/>
        </w:rPr>
        <w:t>、</w:t>
      </w:r>
      <w:r>
        <w:rPr>
          <w:rFonts w:hAnsi="宋体"/>
          <w:bCs/>
          <w:sz w:val="24"/>
          <w:szCs w:val="24"/>
        </w:rPr>
        <w:t>WA4320i-X</w:t>
      </w:r>
      <w:r>
        <w:rPr>
          <w:rFonts w:hint="eastAsia" w:hAnsi="宋体"/>
          <w:bCs/>
          <w:sz w:val="24"/>
          <w:szCs w:val="24"/>
        </w:rPr>
        <w:t>、</w:t>
      </w:r>
      <w:r>
        <w:rPr>
          <w:rFonts w:hAnsi="宋体"/>
          <w:bCs/>
          <w:sz w:val="24"/>
          <w:szCs w:val="24"/>
        </w:rPr>
        <w:t>WA4320-ACN-S</w:t>
      </w:r>
      <w:r>
        <w:rPr>
          <w:rFonts w:hint="eastAsia" w:hAnsi="宋体"/>
          <w:bCs/>
          <w:sz w:val="24"/>
          <w:szCs w:val="24"/>
        </w:rPr>
        <w:t>等型号的A</w:t>
      </w:r>
      <w:r>
        <w:rPr>
          <w:rFonts w:hAnsi="宋体"/>
          <w:bCs/>
          <w:sz w:val="24"/>
          <w:szCs w:val="24"/>
        </w:rPr>
        <w:t>P</w:t>
      </w:r>
      <w:r>
        <w:rPr>
          <w:rFonts w:hint="eastAsia" w:hAnsi="宋体"/>
          <w:bCs/>
          <w:sz w:val="24"/>
          <w:szCs w:val="24"/>
        </w:rPr>
        <w:t>对整楼栋进行了无线覆盖。但由于无线设备整体运行时间已超过</w:t>
      </w:r>
      <w:r>
        <w:rPr>
          <w:rFonts w:hAnsi="宋体"/>
          <w:bCs/>
          <w:sz w:val="24"/>
          <w:szCs w:val="24"/>
        </w:rPr>
        <w:t>5</w:t>
      </w:r>
      <w:r>
        <w:rPr>
          <w:rFonts w:hint="eastAsia" w:hAnsi="宋体"/>
          <w:bCs/>
          <w:sz w:val="24"/>
          <w:szCs w:val="24"/>
        </w:rPr>
        <w:t>年，部分楼层区域陆续出现了信号弱，无线漫游不畅等问题，导致用户体验下降。</w:t>
      </w:r>
    </w:p>
    <w:p>
      <w:pPr>
        <w:rPr>
          <w:rFonts w:hAnsi="宋体"/>
          <w:b/>
          <w:bCs/>
          <w:sz w:val="24"/>
          <w:szCs w:val="24"/>
        </w:rPr>
      </w:pPr>
      <w:r>
        <w:rPr>
          <w:rFonts w:hint="eastAsia" w:hAnsi="宋体"/>
          <w:b/>
          <w:bCs/>
          <w:sz w:val="24"/>
          <w:szCs w:val="24"/>
          <w:lang w:eastAsia="zh-CN"/>
        </w:rPr>
        <w:t>（</w:t>
      </w:r>
      <w:r>
        <w:rPr>
          <w:rFonts w:hAnsi="宋体"/>
          <w:b/>
          <w:bCs/>
          <w:sz w:val="24"/>
          <w:szCs w:val="24"/>
        </w:rPr>
        <w:t>一</w:t>
      </w:r>
      <w:r>
        <w:rPr>
          <w:rFonts w:hint="eastAsia" w:hAnsi="宋体"/>
          <w:b/>
          <w:bCs/>
          <w:sz w:val="24"/>
          <w:szCs w:val="24"/>
          <w:lang w:eastAsia="zh-CN"/>
        </w:rPr>
        <w:t>）</w:t>
      </w:r>
      <w:r>
        <w:rPr>
          <w:rFonts w:hAnsi="宋体"/>
          <w:b/>
          <w:bCs/>
          <w:sz w:val="24"/>
          <w:szCs w:val="24"/>
        </w:rPr>
        <w:t>、项目建设要求</w:t>
      </w:r>
    </w:p>
    <w:p>
      <w:pPr>
        <w:adjustRightInd w:val="0"/>
        <w:snapToGrid w:val="0"/>
        <w:spacing w:line="360" w:lineRule="auto"/>
        <w:ind w:firstLine="480" w:firstLineChars="200"/>
        <w:rPr>
          <w:rFonts w:hAnsi="宋体" w:cs="宋体"/>
          <w:bCs/>
          <w:sz w:val="24"/>
          <w:szCs w:val="24"/>
        </w:rPr>
      </w:pPr>
      <w:r>
        <w:rPr>
          <w:rFonts w:hAnsi="宋体" w:cs="宋体"/>
          <w:bCs/>
          <w:sz w:val="24"/>
          <w:szCs w:val="24"/>
        </w:rPr>
        <w:t>1、项目建设内容：</w:t>
      </w:r>
      <w:r>
        <w:rPr>
          <w:rFonts w:hint="eastAsia" w:hAnsi="宋体" w:cs="宋体"/>
          <w:bCs/>
          <w:sz w:val="24"/>
          <w:szCs w:val="24"/>
        </w:rPr>
        <w:t>解决黄石市</w:t>
      </w:r>
      <w:r>
        <w:rPr>
          <w:rFonts w:hAnsi="宋体" w:cs="宋体"/>
          <w:bCs/>
          <w:sz w:val="24"/>
          <w:szCs w:val="24"/>
        </w:rPr>
        <w:t>中心医院</w:t>
      </w:r>
      <w:r>
        <w:rPr>
          <w:rFonts w:hint="eastAsia" w:hAnsi="宋体" w:cs="宋体"/>
          <w:bCs/>
          <w:sz w:val="24"/>
          <w:szCs w:val="24"/>
        </w:rPr>
        <w:t>6号楼部分楼层</w:t>
      </w:r>
      <w:r>
        <w:rPr>
          <w:rFonts w:hAnsi="宋体" w:cs="宋体"/>
          <w:bCs/>
          <w:sz w:val="24"/>
          <w:szCs w:val="24"/>
        </w:rPr>
        <w:t>WiFi</w:t>
      </w:r>
      <w:r>
        <w:rPr>
          <w:rFonts w:hint="eastAsia" w:hAnsi="宋体" w:cs="宋体"/>
          <w:bCs/>
          <w:sz w:val="24"/>
          <w:szCs w:val="24"/>
        </w:rPr>
        <w:t>使用体验不佳，无线信号覆盖不全</w:t>
      </w:r>
      <w:r>
        <w:rPr>
          <w:rFonts w:hAnsi="宋体" w:cs="宋体"/>
          <w:bCs/>
          <w:sz w:val="24"/>
          <w:szCs w:val="24"/>
        </w:rPr>
        <w:t>的</w:t>
      </w:r>
      <w:r>
        <w:rPr>
          <w:rFonts w:hint="eastAsia" w:hAnsi="宋体" w:cs="宋体"/>
          <w:bCs/>
          <w:sz w:val="24"/>
          <w:szCs w:val="24"/>
        </w:rPr>
        <w:t>问题，包含</w:t>
      </w:r>
      <w:r>
        <w:rPr>
          <w:rFonts w:hAnsi="宋体" w:cs="宋体"/>
          <w:bCs/>
          <w:sz w:val="24"/>
          <w:szCs w:val="24"/>
        </w:rPr>
        <w:t>运营维护、设备维保及更换。在协议期内，故障设备维保及更换费用由供应商承担。</w:t>
      </w:r>
    </w:p>
    <w:p>
      <w:pPr>
        <w:adjustRightInd w:val="0"/>
        <w:snapToGrid w:val="0"/>
        <w:spacing w:line="360" w:lineRule="auto"/>
        <w:ind w:firstLine="480" w:firstLineChars="200"/>
        <w:rPr>
          <w:sz w:val="24"/>
        </w:rPr>
      </w:pPr>
      <w:r>
        <w:rPr>
          <w:rFonts w:hint="eastAsia"/>
          <w:sz w:val="24"/>
        </w:rPr>
        <w:t>具体范围：黄石市中心医院6号楼，重点解决1</w:t>
      </w:r>
      <w:r>
        <w:rPr>
          <w:sz w:val="24"/>
        </w:rPr>
        <w:t>\2\9\10\11</w:t>
      </w:r>
      <w:r>
        <w:rPr>
          <w:rFonts w:hint="eastAsia"/>
          <w:sz w:val="24"/>
        </w:rPr>
        <w:t>层</w:t>
      </w:r>
    </w:p>
    <w:p>
      <w:pPr>
        <w:adjustRightInd w:val="0"/>
        <w:snapToGrid w:val="0"/>
        <w:spacing w:line="360" w:lineRule="auto"/>
        <w:ind w:firstLine="480" w:firstLineChars="200"/>
        <w:rPr>
          <w:sz w:val="24"/>
        </w:rPr>
      </w:pPr>
      <w:r>
        <w:rPr>
          <w:sz w:val="24"/>
        </w:rPr>
        <w:t>2</w:t>
      </w:r>
      <w:r>
        <w:rPr>
          <w:rFonts w:hint="eastAsia"/>
          <w:sz w:val="24"/>
        </w:rPr>
        <w:t>、</w:t>
      </w:r>
      <w:r>
        <w:rPr>
          <w:rFonts w:hint="eastAsia" w:hAnsi="宋体" w:cs="宋体"/>
          <w:bCs/>
          <w:sz w:val="24"/>
          <w:szCs w:val="24"/>
        </w:rPr>
        <w:t>项目建设标准：</w:t>
      </w:r>
    </w:p>
    <w:p>
      <w:pPr>
        <w:pStyle w:val="19"/>
        <w:adjustRightInd w:val="0"/>
        <w:snapToGrid w:val="0"/>
        <w:spacing w:line="360" w:lineRule="auto"/>
        <w:ind w:left="240" w:firstLine="240" w:firstLineChars="100"/>
        <w:rPr>
          <w:rFonts w:hAnsi="宋体" w:cs="宋体"/>
          <w:bCs/>
          <w:sz w:val="24"/>
          <w:szCs w:val="24"/>
        </w:rPr>
      </w:pPr>
      <w:r>
        <w:rPr>
          <w:rFonts w:hint="eastAsia" w:hAnsi="宋体" w:cs="宋体"/>
          <w:bCs/>
          <w:sz w:val="24"/>
          <w:szCs w:val="24"/>
        </w:rPr>
        <w:t>必须兼容</w:t>
      </w:r>
      <w:r>
        <w:rPr>
          <w:rFonts w:hAnsi="宋体" w:cs="宋体"/>
          <w:bCs/>
          <w:sz w:val="24"/>
          <w:szCs w:val="24"/>
        </w:rPr>
        <w:t xml:space="preserve">H3C </w:t>
      </w:r>
      <w:r>
        <w:rPr>
          <w:rFonts w:hint="eastAsia" w:hAnsi="宋体"/>
          <w:bCs/>
          <w:sz w:val="24"/>
          <w:szCs w:val="24"/>
        </w:rPr>
        <w:t>W</w:t>
      </w:r>
      <w:r>
        <w:rPr>
          <w:rFonts w:hAnsi="宋体"/>
          <w:bCs/>
          <w:sz w:val="24"/>
          <w:szCs w:val="24"/>
        </w:rPr>
        <w:t>X5540E</w:t>
      </w:r>
      <w:r>
        <w:rPr>
          <w:rFonts w:hint="eastAsia" w:hAnsi="宋体"/>
          <w:bCs/>
          <w:sz w:val="24"/>
          <w:szCs w:val="24"/>
        </w:rPr>
        <w:t>无线控制器，软件版本号为R</w:t>
      </w:r>
      <w:r>
        <w:rPr>
          <w:rFonts w:hAnsi="宋体"/>
          <w:bCs/>
          <w:sz w:val="24"/>
          <w:szCs w:val="24"/>
        </w:rPr>
        <w:t>elease 2609P58</w:t>
      </w:r>
      <w:r>
        <w:rPr>
          <w:rFonts w:hint="eastAsia" w:hAnsi="宋体"/>
          <w:bCs/>
          <w:sz w:val="24"/>
          <w:szCs w:val="24"/>
        </w:rPr>
        <w:t>。</w:t>
      </w:r>
    </w:p>
    <w:p>
      <w:pPr>
        <w:adjustRightInd w:val="0"/>
        <w:snapToGrid w:val="0"/>
        <w:spacing w:line="360" w:lineRule="auto"/>
        <w:ind w:firstLine="480" w:firstLineChars="200"/>
        <w:rPr>
          <w:rFonts w:hAnsi="宋体" w:cs="宋体"/>
          <w:bCs/>
          <w:sz w:val="24"/>
          <w:szCs w:val="24"/>
        </w:rPr>
      </w:pPr>
      <w:r>
        <w:rPr>
          <w:rFonts w:hint="eastAsia" w:hAnsi="宋体" w:cs="宋体"/>
          <w:bCs/>
          <w:sz w:val="24"/>
          <w:szCs w:val="24"/>
        </w:rPr>
        <w:t>如需更换设备需为全新设备，且质保期为一年。</w:t>
      </w:r>
    </w:p>
    <w:p>
      <w:pPr>
        <w:adjustRightInd w:val="0"/>
        <w:snapToGrid w:val="0"/>
        <w:spacing w:line="360" w:lineRule="auto"/>
        <w:ind w:firstLine="480" w:firstLineChars="200"/>
        <w:rPr>
          <w:rFonts w:hAnsi="宋体" w:cs="宋体"/>
          <w:bCs/>
          <w:sz w:val="24"/>
          <w:szCs w:val="24"/>
        </w:rPr>
      </w:pPr>
      <w:r>
        <w:rPr>
          <w:rFonts w:hAnsi="宋体" w:cs="宋体"/>
          <w:bCs/>
          <w:sz w:val="24"/>
          <w:szCs w:val="24"/>
        </w:rPr>
        <w:t>WiFi信号全覆盖，无信号盲区</w:t>
      </w:r>
      <w:r>
        <w:rPr>
          <w:rFonts w:hint="eastAsia" w:hAnsi="宋体" w:cs="宋体"/>
          <w:bCs/>
          <w:sz w:val="24"/>
          <w:szCs w:val="24"/>
        </w:rPr>
        <w:t>。</w:t>
      </w:r>
    </w:p>
    <w:p>
      <w:pPr>
        <w:adjustRightInd w:val="0"/>
        <w:snapToGrid w:val="0"/>
        <w:spacing w:line="360" w:lineRule="auto"/>
        <w:ind w:firstLine="480" w:firstLineChars="200"/>
        <w:rPr>
          <w:rFonts w:hAnsi="宋体" w:cs="宋体"/>
          <w:bCs/>
          <w:sz w:val="24"/>
          <w:szCs w:val="24"/>
        </w:rPr>
      </w:pPr>
      <w:r>
        <w:rPr>
          <w:rFonts w:hAnsi="宋体" w:cs="宋体"/>
          <w:bCs/>
          <w:sz w:val="24"/>
          <w:szCs w:val="24"/>
        </w:rPr>
        <w:t>无线网络高可用性，系统可用性达到99.99%，系统平均无故障时间52分钟/年</w:t>
      </w:r>
    </w:p>
    <w:p>
      <w:pPr>
        <w:adjustRightInd w:val="0"/>
        <w:snapToGrid w:val="0"/>
        <w:spacing w:line="360" w:lineRule="auto"/>
        <w:ind w:firstLine="480" w:firstLineChars="200"/>
        <w:rPr>
          <w:rFonts w:hAnsi="宋体" w:cs="宋体"/>
          <w:bCs/>
          <w:sz w:val="24"/>
          <w:szCs w:val="24"/>
        </w:rPr>
      </w:pPr>
      <w:r>
        <w:rPr>
          <w:rFonts w:hAnsi="宋体" w:cs="宋体"/>
          <w:bCs/>
          <w:sz w:val="24"/>
          <w:szCs w:val="24"/>
        </w:rPr>
        <w:t>按照医院实地情况设计和施工，满足</w:t>
      </w:r>
      <w:r>
        <w:rPr>
          <w:rFonts w:hint="eastAsia" w:hAnsi="宋体" w:cs="宋体"/>
          <w:bCs/>
          <w:sz w:val="24"/>
          <w:szCs w:val="24"/>
        </w:rPr>
        <w:t>W</w:t>
      </w:r>
      <w:r>
        <w:rPr>
          <w:rFonts w:hAnsi="宋体" w:cs="宋体"/>
          <w:bCs/>
          <w:sz w:val="24"/>
          <w:szCs w:val="24"/>
        </w:rPr>
        <w:t>IFI</w:t>
      </w:r>
      <w:r>
        <w:rPr>
          <w:rFonts w:hint="eastAsia" w:hAnsi="宋体" w:cs="宋体"/>
          <w:bCs/>
          <w:sz w:val="24"/>
          <w:szCs w:val="24"/>
        </w:rPr>
        <w:t>全</w:t>
      </w:r>
      <w:r>
        <w:rPr>
          <w:rFonts w:hAnsi="宋体" w:cs="宋体"/>
          <w:bCs/>
          <w:sz w:val="24"/>
          <w:szCs w:val="24"/>
        </w:rPr>
        <w:t>覆盖无线信号强度不低于-60dBm。</w:t>
      </w:r>
    </w:p>
    <w:p>
      <w:pPr>
        <w:adjustRightInd w:val="0"/>
        <w:snapToGrid w:val="0"/>
        <w:spacing w:line="360" w:lineRule="auto"/>
        <w:ind w:firstLine="480" w:firstLineChars="200"/>
        <w:rPr>
          <w:rFonts w:hAnsi="宋体" w:cs="宋体"/>
          <w:bCs/>
          <w:sz w:val="24"/>
          <w:szCs w:val="24"/>
        </w:rPr>
      </w:pPr>
      <w:r>
        <w:rPr>
          <w:rFonts w:hAnsi="宋体" w:cs="宋体"/>
          <w:bCs/>
          <w:sz w:val="24"/>
          <w:szCs w:val="24"/>
        </w:rPr>
        <w:t>无线</w:t>
      </w:r>
      <w:r>
        <w:rPr>
          <w:rFonts w:hint="eastAsia" w:hAnsi="宋体" w:cs="宋体"/>
          <w:bCs/>
          <w:sz w:val="24"/>
          <w:szCs w:val="24"/>
        </w:rPr>
        <w:t>全</w:t>
      </w:r>
      <w:r>
        <w:rPr>
          <w:rFonts w:hAnsi="宋体" w:cs="宋体"/>
          <w:bCs/>
          <w:sz w:val="24"/>
          <w:szCs w:val="24"/>
        </w:rPr>
        <w:t>覆盖</w:t>
      </w:r>
      <w:r>
        <w:rPr>
          <w:rFonts w:hint="eastAsia" w:hAnsi="宋体" w:cs="宋体"/>
          <w:bCs/>
          <w:sz w:val="24"/>
          <w:szCs w:val="24"/>
        </w:rPr>
        <w:t>范围</w:t>
      </w:r>
      <w:r>
        <w:rPr>
          <w:rFonts w:hAnsi="宋体" w:cs="宋体"/>
          <w:bCs/>
          <w:sz w:val="24"/>
          <w:szCs w:val="24"/>
        </w:rPr>
        <w:t>内客户端自动漫游不掉线。</w:t>
      </w:r>
    </w:p>
    <w:p>
      <w:pPr>
        <w:adjustRightInd w:val="0"/>
        <w:snapToGrid w:val="0"/>
        <w:spacing w:line="360" w:lineRule="auto"/>
        <w:ind w:firstLine="480" w:firstLineChars="200"/>
        <w:rPr>
          <w:rFonts w:hAnsi="宋体" w:cs="宋体"/>
          <w:bCs/>
          <w:sz w:val="24"/>
          <w:szCs w:val="24"/>
        </w:rPr>
      </w:pPr>
      <w:r>
        <w:rPr>
          <w:rFonts w:hAnsi="宋体" w:cs="宋体"/>
          <w:bCs/>
          <w:sz w:val="24"/>
          <w:szCs w:val="24"/>
        </w:rPr>
        <w:t>根据医院实际情况，对无线信号进行优化。</w:t>
      </w:r>
    </w:p>
    <w:p>
      <w:pPr>
        <w:adjustRightInd w:val="0"/>
        <w:snapToGrid w:val="0"/>
        <w:spacing w:line="360" w:lineRule="auto"/>
        <w:ind w:firstLine="480" w:firstLineChars="200"/>
        <w:rPr>
          <w:rFonts w:hAnsi="宋体" w:cs="宋体"/>
          <w:bCs/>
          <w:sz w:val="24"/>
          <w:szCs w:val="24"/>
        </w:rPr>
      </w:pPr>
      <w:r>
        <w:rPr>
          <w:rFonts w:hint="eastAsia" w:hAnsi="宋体" w:cs="宋体"/>
          <w:bCs/>
          <w:sz w:val="24"/>
          <w:szCs w:val="24"/>
        </w:rPr>
        <w:t>3、A</w:t>
      </w:r>
      <w:r>
        <w:rPr>
          <w:rFonts w:hAnsi="宋体" w:cs="宋体"/>
          <w:bCs/>
          <w:sz w:val="24"/>
          <w:szCs w:val="24"/>
        </w:rPr>
        <w:t>P</w:t>
      </w:r>
      <w:r>
        <w:rPr>
          <w:rFonts w:hint="eastAsia" w:hAnsi="宋体" w:cs="宋体"/>
          <w:bCs/>
          <w:sz w:val="24"/>
          <w:szCs w:val="24"/>
        </w:rPr>
        <w:t>技术要求、无线自动化运维系统要求及施工要求：</w:t>
      </w:r>
    </w:p>
    <w:p>
      <w:pPr>
        <w:adjustRightInd w:val="0"/>
        <w:snapToGrid w:val="0"/>
        <w:spacing w:line="360" w:lineRule="auto"/>
        <w:ind w:firstLine="480" w:firstLineChars="200"/>
        <w:rPr>
          <w:rFonts w:hAnsi="宋体" w:cs="宋体"/>
          <w:bCs/>
          <w:sz w:val="24"/>
          <w:szCs w:val="24"/>
        </w:rPr>
      </w:pPr>
      <w:r>
        <w:rPr>
          <w:rFonts w:hint="eastAsia" w:hAnsi="宋体" w:cs="宋体"/>
          <w:bCs/>
          <w:sz w:val="24"/>
          <w:szCs w:val="24"/>
        </w:rPr>
        <w:t>医生办公室放装AP技术要求：</w:t>
      </w:r>
    </w:p>
    <w:tbl>
      <w:tblPr>
        <w:tblStyle w:val="11"/>
        <w:tblW w:w="5000" w:type="pct"/>
        <w:tblInd w:w="0" w:type="dxa"/>
        <w:tblLayout w:type="fixed"/>
        <w:tblCellMar>
          <w:top w:w="0" w:type="dxa"/>
          <w:left w:w="108" w:type="dxa"/>
          <w:bottom w:w="0" w:type="dxa"/>
          <w:right w:w="108" w:type="dxa"/>
        </w:tblCellMar>
      </w:tblPr>
      <w:tblGrid>
        <w:gridCol w:w="1256"/>
        <w:gridCol w:w="7976"/>
      </w:tblGrid>
      <w:tr>
        <w:tblPrEx>
          <w:tblCellMar>
            <w:top w:w="0" w:type="dxa"/>
            <w:left w:w="108" w:type="dxa"/>
            <w:bottom w:w="0" w:type="dxa"/>
            <w:right w:w="108" w:type="dxa"/>
          </w:tblCellMar>
        </w:tblPrEx>
        <w:trPr>
          <w:trHeight w:val="280" w:hRule="atLeast"/>
        </w:trPr>
        <w:tc>
          <w:tcPr>
            <w:tcW w:w="680"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b/>
                <w:sz w:val="20"/>
                <w:szCs w:val="20"/>
              </w:rPr>
            </w:pPr>
            <w:r>
              <w:rPr>
                <w:rFonts w:hint="eastAsia"/>
                <w:b/>
                <w:sz w:val="20"/>
                <w:szCs w:val="20"/>
              </w:rPr>
              <w:t>技术指标</w:t>
            </w:r>
          </w:p>
        </w:tc>
        <w:tc>
          <w:tcPr>
            <w:tcW w:w="4319" w:type="pct"/>
            <w:tcBorders>
              <w:top w:val="single" w:color="auto" w:sz="4" w:space="0"/>
              <w:left w:val="nil"/>
              <w:bottom w:val="single" w:color="auto" w:sz="4" w:space="0"/>
              <w:right w:val="single" w:color="auto" w:sz="4" w:space="0"/>
            </w:tcBorders>
            <w:noWrap/>
            <w:vAlign w:val="center"/>
          </w:tcPr>
          <w:p>
            <w:pPr>
              <w:spacing w:line="360" w:lineRule="auto"/>
              <w:jc w:val="center"/>
              <w:rPr>
                <w:b/>
                <w:sz w:val="20"/>
                <w:szCs w:val="20"/>
              </w:rPr>
            </w:pPr>
            <w:r>
              <w:rPr>
                <w:rFonts w:hint="eastAsia"/>
                <w:b/>
                <w:sz w:val="20"/>
                <w:szCs w:val="20"/>
              </w:rPr>
              <w:t>参数要求</w:t>
            </w:r>
          </w:p>
        </w:tc>
      </w:tr>
      <w:tr>
        <w:tblPrEx>
          <w:tblCellMar>
            <w:top w:w="0" w:type="dxa"/>
            <w:left w:w="108" w:type="dxa"/>
            <w:bottom w:w="0" w:type="dxa"/>
            <w:right w:w="108" w:type="dxa"/>
          </w:tblCellMar>
        </w:tblPrEx>
        <w:trPr>
          <w:trHeight w:val="900" w:hRule="atLeast"/>
        </w:trPr>
        <w:tc>
          <w:tcPr>
            <w:tcW w:w="680" w:type="pct"/>
            <w:tcBorders>
              <w:top w:val="nil"/>
              <w:left w:val="single" w:color="auto" w:sz="4" w:space="0"/>
              <w:bottom w:val="single" w:color="auto" w:sz="4" w:space="0"/>
              <w:right w:val="single" w:color="auto" w:sz="4" w:space="0"/>
            </w:tcBorders>
            <w:noWrap/>
            <w:vAlign w:val="center"/>
          </w:tcPr>
          <w:p>
            <w:pPr>
              <w:spacing w:line="360" w:lineRule="auto"/>
              <w:jc w:val="center"/>
              <w:rPr>
                <w:sz w:val="20"/>
                <w:szCs w:val="20"/>
              </w:rPr>
            </w:pPr>
            <w:r>
              <w:rPr>
                <w:rFonts w:hint="eastAsia"/>
                <w:sz w:val="20"/>
                <w:szCs w:val="20"/>
              </w:rPr>
              <w:t>性能指标</w:t>
            </w:r>
          </w:p>
        </w:tc>
        <w:tc>
          <w:tcPr>
            <w:tcW w:w="4319" w:type="pct"/>
            <w:tcBorders>
              <w:top w:val="nil"/>
              <w:left w:val="nil"/>
              <w:bottom w:val="single" w:color="auto" w:sz="4" w:space="0"/>
              <w:right w:val="single" w:color="auto" w:sz="4" w:space="0"/>
            </w:tcBorders>
            <w:vAlign w:val="center"/>
          </w:tcPr>
          <w:p>
            <w:pPr>
              <w:spacing w:line="360" w:lineRule="auto"/>
              <w:rPr>
                <w:sz w:val="20"/>
                <w:szCs w:val="20"/>
              </w:rPr>
            </w:pPr>
            <w:r>
              <w:rPr>
                <w:sz w:val="20"/>
                <w:szCs w:val="20"/>
              </w:rPr>
              <w:t>802.11a</w:t>
            </w:r>
            <w:r>
              <w:rPr>
                <w:rFonts w:hint="eastAsia"/>
                <w:sz w:val="20"/>
                <w:szCs w:val="20"/>
              </w:rPr>
              <w:t>c</w:t>
            </w:r>
            <w:r>
              <w:rPr>
                <w:sz w:val="20"/>
                <w:szCs w:val="20"/>
              </w:rPr>
              <w:t xml:space="preserve"> </w:t>
            </w:r>
            <w:r>
              <w:rPr>
                <w:rFonts w:hint="eastAsia"/>
                <w:sz w:val="20"/>
                <w:szCs w:val="20"/>
              </w:rPr>
              <w:t>协议，兼容</w:t>
            </w:r>
            <w:r>
              <w:rPr>
                <w:sz w:val="20"/>
                <w:szCs w:val="20"/>
              </w:rPr>
              <w:t>802.11a/b/g/n</w:t>
            </w:r>
            <w:r>
              <w:rPr>
                <w:rFonts w:hint="eastAsia"/>
                <w:sz w:val="20"/>
                <w:szCs w:val="20"/>
              </w:rPr>
              <w:t>协议，支持</w:t>
            </w:r>
            <w:r>
              <w:rPr>
                <w:sz w:val="20"/>
                <w:szCs w:val="20"/>
              </w:rPr>
              <w:t>2.4G</w:t>
            </w:r>
            <w:r>
              <w:rPr>
                <w:rFonts w:hint="eastAsia"/>
                <w:sz w:val="20"/>
                <w:szCs w:val="20"/>
              </w:rPr>
              <w:t>和</w:t>
            </w:r>
            <w:r>
              <w:rPr>
                <w:sz w:val="20"/>
                <w:szCs w:val="20"/>
              </w:rPr>
              <w:t>5G</w:t>
            </w:r>
            <w:r>
              <w:rPr>
                <w:rFonts w:hint="eastAsia"/>
                <w:sz w:val="20"/>
                <w:szCs w:val="20"/>
              </w:rPr>
              <w:t xml:space="preserve">同时工作； </w:t>
            </w:r>
          </w:p>
        </w:tc>
      </w:tr>
      <w:tr>
        <w:tblPrEx>
          <w:tblCellMar>
            <w:top w:w="0" w:type="dxa"/>
            <w:left w:w="108" w:type="dxa"/>
            <w:bottom w:w="0" w:type="dxa"/>
            <w:right w:w="108" w:type="dxa"/>
          </w:tblCellMar>
        </w:tblPrEx>
        <w:trPr>
          <w:trHeight w:val="900" w:hRule="atLeast"/>
        </w:trPr>
        <w:tc>
          <w:tcPr>
            <w:tcW w:w="680" w:type="pct"/>
            <w:tcBorders>
              <w:top w:val="nil"/>
              <w:left w:val="single" w:color="auto" w:sz="4" w:space="0"/>
              <w:bottom w:val="single" w:color="auto" w:sz="4" w:space="0"/>
              <w:right w:val="single" w:color="auto" w:sz="4" w:space="0"/>
            </w:tcBorders>
            <w:noWrap/>
            <w:vAlign w:val="center"/>
          </w:tcPr>
          <w:p>
            <w:pPr>
              <w:spacing w:line="360" w:lineRule="auto"/>
              <w:jc w:val="center"/>
              <w:rPr>
                <w:sz w:val="20"/>
                <w:szCs w:val="20"/>
              </w:rPr>
            </w:pPr>
            <w:r>
              <w:rPr>
                <w:rFonts w:hint="eastAsia"/>
                <w:sz w:val="18"/>
                <w:szCs w:val="18"/>
              </w:rPr>
              <w:t>接入速率</w:t>
            </w:r>
          </w:p>
        </w:tc>
        <w:tc>
          <w:tcPr>
            <w:tcW w:w="4319" w:type="pct"/>
            <w:tcBorders>
              <w:top w:val="nil"/>
              <w:left w:val="nil"/>
              <w:bottom w:val="single" w:color="auto" w:sz="4" w:space="0"/>
              <w:right w:val="single" w:color="auto" w:sz="4" w:space="0"/>
            </w:tcBorders>
            <w:vAlign w:val="center"/>
          </w:tcPr>
          <w:p>
            <w:pPr>
              <w:spacing w:line="360" w:lineRule="auto"/>
              <w:rPr>
                <w:sz w:val="20"/>
                <w:szCs w:val="20"/>
              </w:rPr>
            </w:pPr>
            <w:r>
              <w:rPr>
                <w:rFonts w:hint="eastAsia"/>
                <w:sz w:val="18"/>
                <w:szCs w:val="18"/>
              </w:rPr>
              <w:t>整机采用双频设计，2.4G最大传输速率≥570Mbps，5G最大传输速率≥1200Mbps，整机最大传输速率≥1.7Gbps</w:t>
            </w:r>
          </w:p>
        </w:tc>
      </w:tr>
      <w:tr>
        <w:tblPrEx>
          <w:tblCellMar>
            <w:top w:w="0" w:type="dxa"/>
            <w:left w:w="108" w:type="dxa"/>
            <w:bottom w:w="0" w:type="dxa"/>
            <w:right w:w="108" w:type="dxa"/>
          </w:tblCellMar>
        </w:tblPrEx>
        <w:trPr>
          <w:trHeight w:val="900" w:hRule="atLeast"/>
        </w:trPr>
        <w:tc>
          <w:tcPr>
            <w:tcW w:w="680" w:type="pct"/>
            <w:tcBorders>
              <w:top w:val="nil"/>
              <w:left w:val="single" w:color="auto" w:sz="4" w:space="0"/>
              <w:bottom w:val="single" w:color="auto" w:sz="4" w:space="0"/>
              <w:right w:val="single" w:color="auto" w:sz="4" w:space="0"/>
            </w:tcBorders>
            <w:noWrap/>
            <w:vAlign w:val="center"/>
          </w:tcPr>
          <w:p>
            <w:pPr>
              <w:spacing w:line="360" w:lineRule="auto"/>
              <w:jc w:val="center"/>
              <w:rPr>
                <w:sz w:val="18"/>
                <w:szCs w:val="18"/>
              </w:rPr>
            </w:pPr>
            <w:r>
              <w:rPr>
                <w:rFonts w:hint="eastAsia"/>
                <w:sz w:val="18"/>
                <w:szCs w:val="18"/>
              </w:rPr>
              <w:t>状态指示灯</w:t>
            </w:r>
          </w:p>
        </w:tc>
        <w:tc>
          <w:tcPr>
            <w:tcW w:w="4319" w:type="pct"/>
            <w:tcBorders>
              <w:top w:val="nil"/>
              <w:left w:val="nil"/>
              <w:bottom w:val="single" w:color="auto" w:sz="4" w:space="0"/>
              <w:right w:val="single" w:color="auto" w:sz="4" w:space="0"/>
            </w:tcBorders>
            <w:vAlign w:val="center"/>
          </w:tcPr>
          <w:p>
            <w:pPr>
              <w:spacing w:line="360" w:lineRule="auto"/>
              <w:rPr>
                <w:sz w:val="18"/>
                <w:szCs w:val="18"/>
              </w:rPr>
            </w:pPr>
            <w:r>
              <w:rPr>
                <w:rFonts w:hint="eastAsia"/>
                <w:sz w:val="18"/>
                <w:szCs w:val="18"/>
              </w:rPr>
              <w:t>Blink交替闪烁模式、橙绿蓝不同工作状态闪烁模式、终端接入呼吸闪烁模式</w:t>
            </w:r>
          </w:p>
        </w:tc>
      </w:tr>
      <w:tr>
        <w:tblPrEx>
          <w:tblCellMar>
            <w:top w:w="0" w:type="dxa"/>
            <w:left w:w="108" w:type="dxa"/>
            <w:bottom w:w="0" w:type="dxa"/>
            <w:right w:w="108" w:type="dxa"/>
          </w:tblCellMar>
        </w:tblPrEx>
        <w:trPr>
          <w:trHeight w:val="900" w:hRule="atLeast"/>
        </w:trPr>
        <w:tc>
          <w:tcPr>
            <w:tcW w:w="680" w:type="pct"/>
            <w:tcBorders>
              <w:top w:val="nil"/>
              <w:left w:val="single" w:color="auto" w:sz="4" w:space="0"/>
              <w:bottom w:val="single" w:color="auto" w:sz="4" w:space="0"/>
              <w:right w:val="single" w:color="auto" w:sz="4" w:space="0"/>
            </w:tcBorders>
            <w:noWrap/>
            <w:vAlign w:val="center"/>
          </w:tcPr>
          <w:p>
            <w:pPr>
              <w:spacing w:line="360" w:lineRule="auto"/>
              <w:jc w:val="center"/>
              <w:rPr>
                <w:sz w:val="18"/>
                <w:szCs w:val="18"/>
              </w:rPr>
            </w:pPr>
            <w:r>
              <w:rPr>
                <w:rFonts w:hint="eastAsia" w:ascii="微软雅黑" w:hAnsi="微软雅黑" w:eastAsia="微软雅黑"/>
                <w:sz w:val="18"/>
                <w:szCs w:val="18"/>
              </w:rPr>
              <w:t>产品兼容性</w:t>
            </w:r>
          </w:p>
        </w:tc>
        <w:tc>
          <w:tcPr>
            <w:tcW w:w="4319" w:type="pct"/>
            <w:tcBorders>
              <w:top w:val="nil"/>
              <w:left w:val="nil"/>
              <w:bottom w:val="single" w:color="auto" w:sz="4" w:space="0"/>
              <w:right w:val="single" w:color="auto" w:sz="4" w:space="0"/>
            </w:tcBorders>
            <w:vAlign w:val="center"/>
          </w:tcPr>
          <w:p>
            <w:pPr>
              <w:spacing w:line="360" w:lineRule="auto"/>
              <w:rPr>
                <w:sz w:val="18"/>
                <w:szCs w:val="18"/>
              </w:rPr>
            </w:pPr>
            <w:r>
              <w:rPr>
                <w:rFonts w:hint="eastAsia"/>
                <w:sz w:val="18"/>
                <w:szCs w:val="18"/>
              </w:rPr>
              <w:t>与现有黄石中心医院6号急诊楼无线控制器A</w:t>
            </w:r>
            <w:r>
              <w:rPr>
                <w:sz w:val="18"/>
                <w:szCs w:val="18"/>
              </w:rPr>
              <w:t>C</w:t>
            </w:r>
            <w:r>
              <w:rPr>
                <w:rFonts w:hint="eastAsia"/>
                <w:sz w:val="18"/>
                <w:szCs w:val="18"/>
              </w:rPr>
              <w:t>能够完美兼容，能够纳入A</w:t>
            </w:r>
            <w:r>
              <w:rPr>
                <w:sz w:val="18"/>
                <w:szCs w:val="18"/>
              </w:rPr>
              <w:t>C</w:t>
            </w:r>
            <w:r>
              <w:rPr>
                <w:rFonts w:hint="eastAsia"/>
                <w:sz w:val="18"/>
                <w:szCs w:val="18"/>
              </w:rPr>
              <w:t>统一管理</w:t>
            </w:r>
          </w:p>
        </w:tc>
      </w:tr>
      <w:tr>
        <w:tblPrEx>
          <w:tblCellMar>
            <w:top w:w="0" w:type="dxa"/>
            <w:left w:w="108" w:type="dxa"/>
            <w:bottom w:w="0" w:type="dxa"/>
            <w:right w:w="108" w:type="dxa"/>
          </w:tblCellMar>
        </w:tblPrEx>
        <w:trPr>
          <w:trHeight w:val="300" w:hRule="atLeast"/>
        </w:trPr>
        <w:tc>
          <w:tcPr>
            <w:tcW w:w="680" w:type="pct"/>
            <w:tcBorders>
              <w:top w:val="nil"/>
              <w:left w:val="single" w:color="auto" w:sz="4" w:space="0"/>
              <w:bottom w:val="single" w:color="auto" w:sz="4" w:space="0"/>
              <w:right w:val="single" w:color="auto" w:sz="4" w:space="0"/>
            </w:tcBorders>
            <w:noWrap/>
            <w:vAlign w:val="center"/>
          </w:tcPr>
          <w:p>
            <w:pPr>
              <w:spacing w:line="360" w:lineRule="auto"/>
              <w:jc w:val="center"/>
              <w:rPr>
                <w:sz w:val="20"/>
                <w:szCs w:val="20"/>
              </w:rPr>
            </w:pPr>
            <w:r>
              <w:rPr>
                <w:rFonts w:hint="eastAsia"/>
                <w:sz w:val="20"/>
                <w:szCs w:val="20"/>
              </w:rPr>
              <w:t>天线类型</w:t>
            </w:r>
          </w:p>
        </w:tc>
        <w:tc>
          <w:tcPr>
            <w:tcW w:w="4319" w:type="pct"/>
            <w:tcBorders>
              <w:top w:val="nil"/>
              <w:left w:val="nil"/>
              <w:bottom w:val="single" w:color="auto" w:sz="4" w:space="0"/>
              <w:right w:val="single" w:color="auto" w:sz="4" w:space="0"/>
            </w:tcBorders>
            <w:vAlign w:val="center"/>
          </w:tcPr>
          <w:p>
            <w:pPr>
              <w:spacing w:line="360" w:lineRule="auto"/>
              <w:rPr>
                <w:sz w:val="20"/>
                <w:szCs w:val="20"/>
              </w:rPr>
            </w:pPr>
            <w:r>
              <w:rPr>
                <w:rFonts w:hint="eastAsia"/>
                <w:sz w:val="20"/>
                <w:szCs w:val="20"/>
              </w:rPr>
              <w:t>内置天线系统，天线增益≤</w:t>
            </w:r>
            <w:r>
              <w:rPr>
                <w:sz w:val="20"/>
                <w:szCs w:val="20"/>
              </w:rPr>
              <w:t>7dBi</w:t>
            </w:r>
          </w:p>
        </w:tc>
      </w:tr>
      <w:tr>
        <w:tblPrEx>
          <w:tblCellMar>
            <w:top w:w="0" w:type="dxa"/>
            <w:left w:w="108" w:type="dxa"/>
            <w:bottom w:w="0" w:type="dxa"/>
            <w:right w:w="108" w:type="dxa"/>
          </w:tblCellMar>
        </w:tblPrEx>
        <w:trPr>
          <w:trHeight w:val="280" w:hRule="atLeast"/>
        </w:trPr>
        <w:tc>
          <w:tcPr>
            <w:tcW w:w="680" w:type="pct"/>
            <w:tcBorders>
              <w:top w:val="nil"/>
              <w:left w:val="single" w:color="auto" w:sz="4" w:space="0"/>
              <w:bottom w:val="single" w:color="000000" w:sz="4" w:space="0"/>
              <w:right w:val="single" w:color="auto" w:sz="4" w:space="0"/>
            </w:tcBorders>
            <w:noWrap/>
            <w:vAlign w:val="center"/>
          </w:tcPr>
          <w:p>
            <w:pPr>
              <w:spacing w:line="360" w:lineRule="auto"/>
              <w:jc w:val="center"/>
              <w:rPr>
                <w:sz w:val="20"/>
                <w:szCs w:val="20"/>
              </w:rPr>
            </w:pPr>
            <w:r>
              <w:rPr>
                <w:rFonts w:hint="eastAsia"/>
                <w:sz w:val="20"/>
                <w:szCs w:val="20"/>
              </w:rPr>
              <w:t>业务端口</w:t>
            </w:r>
          </w:p>
        </w:tc>
        <w:tc>
          <w:tcPr>
            <w:tcW w:w="4319" w:type="pct"/>
            <w:tcBorders>
              <w:top w:val="nil"/>
              <w:left w:val="nil"/>
              <w:bottom w:val="single" w:color="auto" w:sz="4" w:space="0"/>
              <w:right w:val="single" w:color="auto" w:sz="4" w:space="0"/>
            </w:tcBorders>
            <w:noWrap/>
            <w:vAlign w:val="center"/>
          </w:tcPr>
          <w:p>
            <w:pPr>
              <w:spacing w:line="360" w:lineRule="auto"/>
              <w:rPr>
                <w:sz w:val="20"/>
                <w:szCs w:val="20"/>
              </w:rPr>
            </w:pPr>
            <w:r>
              <w:rPr>
                <w:rFonts w:hint="eastAsia"/>
                <w:sz w:val="20"/>
                <w:szCs w:val="20"/>
              </w:rPr>
              <w:t>千兆以太网口≥</w:t>
            </w:r>
            <w:r>
              <w:rPr>
                <w:sz w:val="20"/>
                <w:szCs w:val="20"/>
              </w:rPr>
              <w:t>1</w:t>
            </w:r>
            <w:r>
              <w:rPr>
                <w:rFonts w:hint="eastAsia"/>
                <w:sz w:val="20"/>
                <w:szCs w:val="20"/>
              </w:rPr>
              <w:t>个；并需提供</w:t>
            </w:r>
            <w:r>
              <w:rPr>
                <w:sz w:val="20"/>
                <w:szCs w:val="20"/>
              </w:rPr>
              <w:t>1</w:t>
            </w:r>
            <w:r>
              <w:rPr>
                <w:rFonts w:hint="eastAsia"/>
                <w:sz w:val="20"/>
                <w:szCs w:val="20"/>
              </w:rPr>
              <w:t>个</w:t>
            </w:r>
            <w:r>
              <w:rPr>
                <w:sz w:val="20"/>
                <w:szCs w:val="20"/>
              </w:rPr>
              <w:t>RJ-45 Console</w:t>
            </w:r>
            <w:r>
              <w:rPr>
                <w:rFonts w:hint="eastAsia"/>
                <w:sz w:val="20"/>
                <w:szCs w:val="20"/>
              </w:rPr>
              <w:t>管理口</w:t>
            </w:r>
          </w:p>
        </w:tc>
      </w:tr>
      <w:tr>
        <w:tblPrEx>
          <w:tblCellMar>
            <w:top w:w="0" w:type="dxa"/>
            <w:left w:w="108" w:type="dxa"/>
            <w:bottom w:w="0" w:type="dxa"/>
            <w:right w:w="108" w:type="dxa"/>
          </w:tblCellMar>
        </w:tblPrEx>
        <w:trPr>
          <w:trHeight w:val="280" w:hRule="atLeast"/>
        </w:trPr>
        <w:tc>
          <w:tcPr>
            <w:tcW w:w="680" w:type="pct"/>
            <w:vMerge w:val="restart"/>
            <w:tcBorders>
              <w:top w:val="nil"/>
              <w:left w:val="single" w:color="auto" w:sz="4" w:space="0"/>
              <w:bottom w:val="single" w:color="000000" w:sz="4" w:space="0"/>
              <w:right w:val="single" w:color="auto" w:sz="4" w:space="0"/>
            </w:tcBorders>
            <w:noWrap/>
            <w:vAlign w:val="center"/>
          </w:tcPr>
          <w:p>
            <w:pPr>
              <w:spacing w:line="360" w:lineRule="auto"/>
              <w:jc w:val="center"/>
              <w:rPr>
                <w:sz w:val="20"/>
                <w:szCs w:val="20"/>
              </w:rPr>
            </w:pPr>
            <w:r>
              <w:rPr>
                <w:rFonts w:hint="eastAsia"/>
                <w:sz w:val="20"/>
                <w:szCs w:val="20"/>
              </w:rPr>
              <w:t>设备供电</w:t>
            </w:r>
          </w:p>
        </w:tc>
        <w:tc>
          <w:tcPr>
            <w:tcW w:w="4319" w:type="pct"/>
            <w:tcBorders>
              <w:top w:val="nil"/>
              <w:left w:val="nil"/>
              <w:bottom w:val="single" w:color="auto" w:sz="4" w:space="0"/>
              <w:right w:val="single" w:color="auto" w:sz="4" w:space="0"/>
            </w:tcBorders>
            <w:noWrap/>
            <w:vAlign w:val="center"/>
          </w:tcPr>
          <w:p>
            <w:pPr>
              <w:spacing w:line="360" w:lineRule="auto"/>
              <w:rPr>
                <w:sz w:val="20"/>
                <w:szCs w:val="20"/>
              </w:rPr>
            </w:pPr>
            <w:r>
              <w:rPr>
                <w:rFonts w:hint="eastAsia"/>
                <w:sz w:val="20"/>
                <w:szCs w:val="20"/>
              </w:rPr>
              <w:t>支持</w:t>
            </w:r>
            <w:r>
              <w:rPr>
                <w:sz w:val="20"/>
                <w:szCs w:val="20"/>
              </w:rPr>
              <w:t>802.3at</w:t>
            </w:r>
            <w:r>
              <w:rPr>
                <w:rFonts w:hint="eastAsia"/>
                <w:sz w:val="20"/>
                <w:szCs w:val="20"/>
              </w:rPr>
              <w:t>标准的</w:t>
            </w:r>
            <w:r>
              <w:rPr>
                <w:sz w:val="20"/>
                <w:szCs w:val="20"/>
              </w:rPr>
              <w:t>PoE</w:t>
            </w:r>
            <w:r>
              <w:rPr>
                <w:rFonts w:hint="eastAsia"/>
                <w:sz w:val="20"/>
                <w:szCs w:val="20"/>
              </w:rPr>
              <w:t>供电和本地电源适配器供电两种方式</w:t>
            </w:r>
          </w:p>
        </w:tc>
      </w:tr>
      <w:tr>
        <w:tblPrEx>
          <w:tblCellMar>
            <w:top w:w="0" w:type="dxa"/>
            <w:left w:w="108" w:type="dxa"/>
            <w:bottom w:w="0" w:type="dxa"/>
            <w:right w:w="108" w:type="dxa"/>
          </w:tblCellMar>
        </w:tblPrEx>
        <w:trPr>
          <w:trHeight w:val="280" w:hRule="atLeast"/>
        </w:trPr>
        <w:tc>
          <w:tcPr>
            <w:tcW w:w="680" w:type="pct"/>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sz w:val="20"/>
                <w:szCs w:val="20"/>
              </w:rPr>
            </w:pPr>
          </w:p>
        </w:tc>
        <w:tc>
          <w:tcPr>
            <w:tcW w:w="4319" w:type="pct"/>
            <w:tcBorders>
              <w:top w:val="nil"/>
              <w:left w:val="nil"/>
              <w:bottom w:val="single" w:color="auto" w:sz="4" w:space="0"/>
              <w:right w:val="single" w:color="auto" w:sz="4" w:space="0"/>
            </w:tcBorders>
            <w:noWrap/>
            <w:vAlign w:val="center"/>
          </w:tcPr>
          <w:p>
            <w:pPr>
              <w:spacing w:line="360" w:lineRule="auto"/>
              <w:rPr>
                <w:sz w:val="20"/>
                <w:szCs w:val="20"/>
              </w:rPr>
            </w:pPr>
            <w:r>
              <w:rPr>
                <w:sz w:val="20"/>
                <w:szCs w:val="20"/>
              </w:rPr>
              <w:t>AP</w:t>
            </w:r>
            <w:r>
              <w:rPr>
                <w:rFonts w:hint="eastAsia"/>
                <w:sz w:val="20"/>
                <w:szCs w:val="20"/>
              </w:rPr>
              <w:t>满负荷工作功耗≤</w:t>
            </w:r>
            <w:r>
              <w:rPr>
                <w:sz w:val="20"/>
                <w:szCs w:val="20"/>
              </w:rPr>
              <w:t>1</w:t>
            </w:r>
            <w:r>
              <w:rPr>
                <w:rFonts w:hint="eastAsia"/>
                <w:sz w:val="20"/>
                <w:szCs w:val="20"/>
              </w:rPr>
              <w:t>5</w:t>
            </w:r>
            <w:r>
              <w:rPr>
                <w:sz w:val="20"/>
                <w:szCs w:val="20"/>
              </w:rPr>
              <w:t>W</w:t>
            </w:r>
          </w:p>
        </w:tc>
      </w:tr>
      <w:tr>
        <w:tblPrEx>
          <w:tblCellMar>
            <w:top w:w="0" w:type="dxa"/>
            <w:left w:w="108" w:type="dxa"/>
            <w:bottom w:w="0" w:type="dxa"/>
            <w:right w:w="108" w:type="dxa"/>
          </w:tblCellMar>
        </w:tblPrEx>
        <w:trPr>
          <w:trHeight w:val="280" w:hRule="atLeast"/>
        </w:trPr>
        <w:tc>
          <w:tcPr>
            <w:tcW w:w="680" w:type="pct"/>
            <w:tcBorders>
              <w:top w:val="nil"/>
              <w:left w:val="single" w:color="auto" w:sz="4" w:space="0"/>
              <w:bottom w:val="single" w:color="auto" w:sz="4" w:space="0"/>
              <w:right w:val="single" w:color="auto" w:sz="4" w:space="0"/>
            </w:tcBorders>
            <w:noWrap/>
            <w:vAlign w:val="center"/>
          </w:tcPr>
          <w:p>
            <w:pPr>
              <w:spacing w:line="360" w:lineRule="auto"/>
              <w:jc w:val="center"/>
              <w:rPr>
                <w:sz w:val="20"/>
                <w:szCs w:val="20"/>
              </w:rPr>
            </w:pPr>
            <w:r>
              <w:rPr>
                <w:rFonts w:hint="eastAsia"/>
                <w:sz w:val="20"/>
                <w:szCs w:val="20"/>
              </w:rPr>
              <w:t>发射功率</w:t>
            </w:r>
          </w:p>
        </w:tc>
        <w:tc>
          <w:tcPr>
            <w:tcW w:w="4319" w:type="pct"/>
            <w:tcBorders>
              <w:top w:val="nil"/>
              <w:left w:val="nil"/>
              <w:bottom w:val="single" w:color="auto" w:sz="4" w:space="0"/>
              <w:right w:val="single" w:color="auto" w:sz="4" w:space="0"/>
            </w:tcBorders>
            <w:noWrap/>
            <w:vAlign w:val="center"/>
          </w:tcPr>
          <w:p>
            <w:pPr>
              <w:spacing w:line="360" w:lineRule="auto"/>
              <w:rPr>
                <w:sz w:val="20"/>
                <w:szCs w:val="20"/>
              </w:rPr>
            </w:pPr>
            <w:r>
              <w:rPr>
                <w:sz w:val="20"/>
                <w:szCs w:val="20"/>
              </w:rPr>
              <w:t>AP</w:t>
            </w:r>
            <w:r>
              <w:rPr>
                <w:rFonts w:hint="eastAsia"/>
                <w:sz w:val="20"/>
                <w:szCs w:val="20"/>
              </w:rPr>
              <w:t>发射功率≤</w:t>
            </w:r>
            <w:r>
              <w:rPr>
                <w:sz w:val="20"/>
                <w:szCs w:val="20"/>
              </w:rPr>
              <w:t>23dBm</w:t>
            </w:r>
            <w:r>
              <w:rPr>
                <w:rFonts w:hint="eastAsia"/>
                <w:sz w:val="20"/>
                <w:szCs w:val="20"/>
              </w:rPr>
              <w:t>（最大不超过</w:t>
            </w:r>
            <w:r>
              <w:rPr>
                <w:sz w:val="20"/>
                <w:szCs w:val="20"/>
              </w:rPr>
              <w:t>100mw</w:t>
            </w:r>
            <w:r>
              <w:rPr>
                <w:rFonts w:hint="eastAsia"/>
                <w:sz w:val="20"/>
                <w:szCs w:val="20"/>
              </w:rPr>
              <w:t>），且功率可调节（调节粒度为</w:t>
            </w:r>
            <w:r>
              <w:rPr>
                <w:sz w:val="20"/>
                <w:szCs w:val="20"/>
              </w:rPr>
              <w:t>1dBm</w:t>
            </w:r>
            <w:r>
              <w:rPr>
                <w:rFonts w:hint="eastAsia"/>
                <w:sz w:val="20"/>
                <w:szCs w:val="20"/>
              </w:rPr>
              <w:t>，调节范围为</w:t>
            </w:r>
            <w:r>
              <w:rPr>
                <w:sz w:val="20"/>
                <w:szCs w:val="20"/>
              </w:rPr>
              <w:t>1dBm~20dBm</w:t>
            </w:r>
            <w:r>
              <w:rPr>
                <w:rFonts w:hint="eastAsia"/>
                <w:sz w:val="20"/>
                <w:szCs w:val="20"/>
              </w:rPr>
              <w:t>），MTBF：&gt;250000H</w:t>
            </w:r>
          </w:p>
        </w:tc>
      </w:tr>
      <w:tr>
        <w:tblPrEx>
          <w:tblCellMar>
            <w:top w:w="0" w:type="dxa"/>
            <w:left w:w="108" w:type="dxa"/>
            <w:bottom w:w="0" w:type="dxa"/>
            <w:right w:w="108" w:type="dxa"/>
          </w:tblCellMar>
        </w:tblPrEx>
        <w:trPr>
          <w:trHeight w:val="357" w:hRule="atLeast"/>
        </w:trPr>
        <w:tc>
          <w:tcPr>
            <w:tcW w:w="680" w:type="pct"/>
            <w:tcBorders>
              <w:top w:val="single" w:color="auto" w:sz="4" w:space="0"/>
              <w:left w:val="single" w:color="auto" w:sz="4" w:space="0"/>
              <w:bottom w:val="nil"/>
              <w:right w:val="single" w:color="auto" w:sz="4" w:space="0"/>
            </w:tcBorders>
            <w:noWrap/>
            <w:vAlign w:val="center"/>
          </w:tcPr>
          <w:p>
            <w:pPr>
              <w:spacing w:line="360" w:lineRule="auto"/>
              <w:jc w:val="center"/>
              <w:rPr>
                <w:sz w:val="20"/>
                <w:szCs w:val="20"/>
              </w:rPr>
            </w:pPr>
            <w:r>
              <w:rPr>
                <w:rFonts w:hint="eastAsia"/>
                <w:sz w:val="20"/>
                <w:szCs w:val="20"/>
              </w:rPr>
              <w:t>认证</w:t>
            </w:r>
          </w:p>
        </w:tc>
        <w:tc>
          <w:tcPr>
            <w:tcW w:w="4319" w:type="pct"/>
            <w:tcBorders>
              <w:top w:val="single" w:color="auto" w:sz="4" w:space="0"/>
              <w:left w:val="nil"/>
              <w:bottom w:val="single" w:color="auto" w:sz="4" w:space="0"/>
              <w:right w:val="single" w:color="auto" w:sz="4" w:space="0"/>
            </w:tcBorders>
            <w:vAlign w:val="center"/>
          </w:tcPr>
          <w:p>
            <w:pPr>
              <w:spacing w:line="360" w:lineRule="auto"/>
              <w:rPr>
                <w:sz w:val="20"/>
                <w:szCs w:val="20"/>
              </w:rPr>
            </w:pPr>
            <w:r>
              <w:rPr>
                <w:rFonts w:hint="eastAsia"/>
                <w:sz w:val="20"/>
                <w:szCs w:val="20"/>
              </w:rPr>
              <w:t>支持</w:t>
            </w:r>
            <w:r>
              <w:rPr>
                <w:sz w:val="20"/>
                <w:szCs w:val="20"/>
              </w:rPr>
              <w:t xml:space="preserve">802.1x </w:t>
            </w:r>
            <w:r>
              <w:rPr>
                <w:rFonts w:hint="eastAsia"/>
                <w:sz w:val="20"/>
                <w:szCs w:val="20"/>
              </w:rPr>
              <w:t>认证、</w:t>
            </w:r>
            <w:r>
              <w:rPr>
                <w:sz w:val="20"/>
                <w:szCs w:val="20"/>
              </w:rPr>
              <w:t xml:space="preserve">MAC </w:t>
            </w:r>
            <w:r>
              <w:rPr>
                <w:rFonts w:hint="eastAsia"/>
                <w:sz w:val="20"/>
                <w:szCs w:val="20"/>
              </w:rPr>
              <w:t>地址认证、</w:t>
            </w:r>
            <w:r>
              <w:rPr>
                <w:sz w:val="20"/>
                <w:szCs w:val="20"/>
              </w:rPr>
              <w:t xml:space="preserve">PSK </w:t>
            </w:r>
            <w:r>
              <w:rPr>
                <w:rFonts w:hint="eastAsia"/>
                <w:sz w:val="20"/>
                <w:szCs w:val="20"/>
              </w:rPr>
              <w:t>认证、</w:t>
            </w:r>
            <w:r>
              <w:rPr>
                <w:sz w:val="20"/>
                <w:szCs w:val="20"/>
              </w:rPr>
              <w:t>Portal</w:t>
            </w:r>
            <w:r>
              <w:rPr>
                <w:rFonts w:hint="eastAsia"/>
                <w:sz w:val="20"/>
                <w:szCs w:val="20"/>
              </w:rPr>
              <w:t>认证等</w:t>
            </w:r>
          </w:p>
        </w:tc>
      </w:tr>
      <w:tr>
        <w:tblPrEx>
          <w:tblCellMar>
            <w:top w:w="0" w:type="dxa"/>
            <w:left w:w="108" w:type="dxa"/>
            <w:bottom w:w="0" w:type="dxa"/>
            <w:right w:w="108" w:type="dxa"/>
          </w:tblCellMar>
        </w:tblPrEx>
        <w:trPr>
          <w:trHeight w:val="300" w:hRule="atLeast"/>
        </w:trPr>
        <w:tc>
          <w:tcPr>
            <w:tcW w:w="680" w:type="pct"/>
            <w:tcBorders>
              <w:top w:val="nil"/>
              <w:left w:val="single" w:color="auto" w:sz="4" w:space="0"/>
              <w:bottom w:val="single" w:color="auto" w:sz="4" w:space="0"/>
              <w:right w:val="single" w:color="auto" w:sz="4" w:space="0"/>
            </w:tcBorders>
            <w:noWrap/>
            <w:vAlign w:val="center"/>
          </w:tcPr>
          <w:p>
            <w:pPr>
              <w:spacing w:line="360" w:lineRule="auto"/>
              <w:jc w:val="center"/>
              <w:rPr>
                <w:sz w:val="20"/>
                <w:szCs w:val="20"/>
              </w:rPr>
            </w:pPr>
            <w:r>
              <w:rPr>
                <w:rFonts w:hint="eastAsia"/>
                <w:sz w:val="20"/>
                <w:szCs w:val="20"/>
              </w:rPr>
              <w:t>品牌要求</w:t>
            </w:r>
          </w:p>
        </w:tc>
        <w:tc>
          <w:tcPr>
            <w:tcW w:w="4319" w:type="pct"/>
            <w:tcBorders>
              <w:top w:val="nil"/>
              <w:left w:val="nil"/>
              <w:bottom w:val="single" w:color="auto" w:sz="4" w:space="0"/>
              <w:right w:val="single" w:color="auto" w:sz="4" w:space="0"/>
            </w:tcBorders>
            <w:vAlign w:val="center"/>
          </w:tcPr>
          <w:p>
            <w:pPr>
              <w:spacing w:line="360" w:lineRule="auto"/>
              <w:rPr>
                <w:sz w:val="20"/>
                <w:szCs w:val="20"/>
              </w:rPr>
            </w:pPr>
            <w:r>
              <w:rPr>
                <w:rFonts w:hint="eastAsia"/>
                <w:sz w:val="20"/>
                <w:szCs w:val="20"/>
              </w:rPr>
              <w:t>为保证兼容性与统一管理，要求本次招标的AP和原有无线系统能实现对接</w:t>
            </w:r>
          </w:p>
        </w:tc>
      </w:tr>
    </w:tbl>
    <w:p>
      <w:pPr>
        <w:spacing w:line="360" w:lineRule="auto"/>
        <w:rPr>
          <w:color w:val="000000" w:themeColor="text1"/>
          <w14:textFill>
            <w14:solidFill>
              <w14:schemeClr w14:val="tx1"/>
            </w14:solidFill>
          </w14:textFill>
        </w:rPr>
      </w:pPr>
    </w:p>
    <w:p>
      <w:pPr>
        <w:adjustRightInd w:val="0"/>
        <w:snapToGrid w:val="0"/>
        <w:spacing w:line="360" w:lineRule="auto"/>
        <w:ind w:firstLine="480" w:firstLineChars="200"/>
        <w:rPr>
          <w:rFonts w:hAnsi="宋体" w:cs="宋体"/>
          <w:bCs/>
          <w:sz w:val="24"/>
          <w:szCs w:val="24"/>
        </w:rPr>
      </w:pPr>
      <w:r>
        <w:rPr>
          <w:rFonts w:hint="eastAsia" w:hAnsi="宋体" w:cs="宋体"/>
          <w:bCs/>
          <w:sz w:val="24"/>
          <w:szCs w:val="24"/>
        </w:rPr>
        <w:t>病房智分AP技术要求：</w:t>
      </w:r>
    </w:p>
    <w:tbl>
      <w:tblPr>
        <w:tblStyle w:val="11"/>
        <w:tblW w:w="5000" w:type="pct"/>
        <w:tblInd w:w="0" w:type="dxa"/>
        <w:tblLayout w:type="fixed"/>
        <w:tblCellMar>
          <w:top w:w="0" w:type="dxa"/>
          <w:left w:w="108" w:type="dxa"/>
          <w:bottom w:w="0" w:type="dxa"/>
          <w:right w:w="108" w:type="dxa"/>
        </w:tblCellMar>
      </w:tblPr>
      <w:tblGrid>
        <w:gridCol w:w="1256"/>
        <w:gridCol w:w="7976"/>
      </w:tblGrid>
      <w:tr>
        <w:tblPrEx>
          <w:tblCellMar>
            <w:top w:w="0" w:type="dxa"/>
            <w:left w:w="108" w:type="dxa"/>
            <w:bottom w:w="0" w:type="dxa"/>
            <w:right w:w="108" w:type="dxa"/>
          </w:tblCellMar>
        </w:tblPrEx>
        <w:trPr>
          <w:trHeight w:val="280" w:hRule="atLeast"/>
        </w:trPr>
        <w:tc>
          <w:tcPr>
            <w:tcW w:w="680"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b/>
                <w:sz w:val="20"/>
                <w:szCs w:val="20"/>
              </w:rPr>
            </w:pPr>
            <w:r>
              <w:rPr>
                <w:rFonts w:hint="eastAsia"/>
                <w:b/>
                <w:sz w:val="20"/>
                <w:szCs w:val="20"/>
              </w:rPr>
              <w:t>技术指标</w:t>
            </w:r>
          </w:p>
        </w:tc>
        <w:tc>
          <w:tcPr>
            <w:tcW w:w="4320" w:type="pct"/>
            <w:tcBorders>
              <w:top w:val="single" w:color="auto" w:sz="4" w:space="0"/>
              <w:left w:val="nil"/>
              <w:bottom w:val="single" w:color="auto" w:sz="4" w:space="0"/>
              <w:right w:val="single" w:color="auto" w:sz="4" w:space="0"/>
            </w:tcBorders>
            <w:noWrap/>
            <w:vAlign w:val="center"/>
          </w:tcPr>
          <w:p>
            <w:pPr>
              <w:spacing w:line="360" w:lineRule="auto"/>
              <w:jc w:val="center"/>
              <w:rPr>
                <w:b/>
                <w:sz w:val="20"/>
                <w:szCs w:val="20"/>
              </w:rPr>
            </w:pPr>
            <w:r>
              <w:rPr>
                <w:rFonts w:hint="eastAsia"/>
                <w:b/>
                <w:sz w:val="20"/>
                <w:szCs w:val="20"/>
              </w:rPr>
              <w:t>参数要求</w:t>
            </w:r>
          </w:p>
        </w:tc>
      </w:tr>
      <w:tr>
        <w:tblPrEx>
          <w:tblCellMar>
            <w:top w:w="0" w:type="dxa"/>
            <w:left w:w="108" w:type="dxa"/>
            <w:bottom w:w="0" w:type="dxa"/>
            <w:right w:w="108" w:type="dxa"/>
          </w:tblCellMar>
        </w:tblPrEx>
        <w:trPr>
          <w:trHeight w:val="900" w:hRule="atLeast"/>
        </w:trPr>
        <w:tc>
          <w:tcPr>
            <w:tcW w:w="680" w:type="pct"/>
            <w:tcBorders>
              <w:top w:val="nil"/>
              <w:left w:val="single" w:color="auto" w:sz="4" w:space="0"/>
              <w:bottom w:val="single" w:color="auto" w:sz="4" w:space="0"/>
              <w:right w:val="single" w:color="auto" w:sz="4" w:space="0"/>
            </w:tcBorders>
            <w:noWrap/>
            <w:vAlign w:val="center"/>
          </w:tcPr>
          <w:p>
            <w:pPr>
              <w:spacing w:line="360" w:lineRule="auto"/>
              <w:jc w:val="center"/>
              <w:rPr>
                <w:sz w:val="20"/>
                <w:szCs w:val="20"/>
              </w:rPr>
            </w:pPr>
            <w:r>
              <w:rPr>
                <w:rFonts w:hint="eastAsia"/>
                <w:sz w:val="20"/>
                <w:szCs w:val="20"/>
              </w:rPr>
              <w:t>性能指标</w:t>
            </w:r>
          </w:p>
        </w:tc>
        <w:tc>
          <w:tcPr>
            <w:tcW w:w="4320" w:type="pct"/>
            <w:tcBorders>
              <w:top w:val="nil"/>
              <w:left w:val="nil"/>
              <w:bottom w:val="single" w:color="auto" w:sz="4" w:space="0"/>
              <w:right w:val="single" w:color="auto" w:sz="4" w:space="0"/>
            </w:tcBorders>
            <w:vAlign w:val="center"/>
          </w:tcPr>
          <w:p>
            <w:pPr>
              <w:spacing w:line="360" w:lineRule="auto"/>
              <w:rPr>
                <w:sz w:val="20"/>
                <w:szCs w:val="20"/>
              </w:rPr>
            </w:pPr>
            <w:r>
              <w:rPr>
                <w:sz w:val="20"/>
                <w:szCs w:val="20"/>
              </w:rPr>
              <w:t>802.11a</w:t>
            </w:r>
            <w:r>
              <w:rPr>
                <w:rFonts w:hint="eastAsia"/>
                <w:sz w:val="20"/>
                <w:szCs w:val="20"/>
              </w:rPr>
              <w:t>c</w:t>
            </w:r>
            <w:r>
              <w:rPr>
                <w:sz w:val="20"/>
                <w:szCs w:val="20"/>
              </w:rPr>
              <w:t xml:space="preserve"> </w:t>
            </w:r>
            <w:r>
              <w:rPr>
                <w:rFonts w:hint="eastAsia"/>
                <w:sz w:val="20"/>
                <w:szCs w:val="20"/>
              </w:rPr>
              <w:t>协议，兼容</w:t>
            </w:r>
            <w:r>
              <w:rPr>
                <w:sz w:val="20"/>
                <w:szCs w:val="20"/>
              </w:rPr>
              <w:t>802.11a/b/g/n</w:t>
            </w:r>
            <w:r>
              <w:rPr>
                <w:rFonts w:hint="eastAsia"/>
                <w:sz w:val="20"/>
                <w:szCs w:val="20"/>
              </w:rPr>
              <w:t>协议，支持</w:t>
            </w:r>
            <w:r>
              <w:rPr>
                <w:sz w:val="20"/>
                <w:szCs w:val="20"/>
              </w:rPr>
              <w:t>2.4G</w:t>
            </w:r>
            <w:r>
              <w:rPr>
                <w:rFonts w:hint="eastAsia"/>
                <w:sz w:val="20"/>
                <w:szCs w:val="20"/>
              </w:rPr>
              <w:t>和</w:t>
            </w:r>
            <w:r>
              <w:rPr>
                <w:sz w:val="20"/>
                <w:szCs w:val="20"/>
              </w:rPr>
              <w:t>5G</w:t>
            </w:r>
            <w:r>
              <w:rPr>
                <w:rFonts w:hint="eastAsia"/>
                <w:sz w:val="20"/>
                <w:szCs w:val="20"/>
              </w:rPr>
              <w:t xml:space="preserve">同时工作； </w:t>
            </w:r>
          </w:p>
        </w:tc>
      </w:tr>
      <w:tr>
        <w:tblPrEx>
          <w:tblCellMar>
            <w:top w:w="0" w:type="dxa"/>
            <w:left w:w="108" w:type="dxa"/>
            <w:bottom w:w="0" w:type="dxa"/>
            <w:right w:w="108" w:type="dxa"/>
          </w:tblCellMar>
        </w:tblPrEx>
        <w:trPr>
          <w:trHeight w:val="900" w:hRule="atLeast"/>
        </w:trPr>
        <w:tc>
          <w:tcPr>
            <w:tcW w:w="680" w:type="pct"/>
            <w:tcBorders>
              <w:top w:val="nil"/>
              <w:left w:val="single" w:color="auto" w:sz="4" w:space="0"/>
              <w:bottom w:val="single" w:color="auto" w:sz="4" w:space="0"/>
              <w:right w:val="single" w:color="auto" w:sz="4" w:space="0"/>
            </w:tcBorders>
            <w:noWrap/>
            <w:vAlign w:val="center"/>
          </w:tcPr>
          <w:p>
            <w:pPr>
              <w:spacing w:line="360" w:lineRule="auto"/>
              <w:jc w:val="center"/>
              <w:rPr>
                <w:sz w:val="20"/>
                <w:szCs w:val="20"/>
              </w:rPr>
            </w:pPr>
            <w:r>
              <w:rPr>
                <w:rFonts w:hint="eastAsia"/>
                <w:sz w:val="18"/>
                <w:szCs w:val="18"/>
              </w:rPr>
              <w:t>接入速率</w:t>
            </w:r>
          </w:p>
        </w:tc>
        <w:tc>
          <w:tcPr>
            <w:tcW w:w="4320" w:type="pct"/>
            <w:tcBorders>
              <w:top w:val="nil"/>
              <w:left w:val="nil"/>
              <w:bottom w:val="single" w:color="auto" w:sz="4" w:space="0"/>
              <w:right w:val="single" w:color="auto" w:sz="4" w:space="0"/>
            </w:tcBorders>
            <w:vAlign w:val="center"/>
          </w:tcPr>
          <w:p>
            <w:pPr>
              <w:spacing w:line="360" w:lineRule="auto"/>
              <w:rPr>
                <w:sz w:val="20"/>
                <w:szCs w:val="20"/>
              </w:rPr>
            </w:pPr>
            <w:r>
              <w:rPr>
                <w:rFonts w:hint="eastAsia"/>
                <w:sz w:val="18"/>
                <w:szCs w:val="18"/>
              </w:rPr>
              <w:t>整机采用双频设计，2.4G最大传输速率≥570Mbps，5G最大传输速率≥1200Mbps，整机最大传输速率≥1.7Gbps</w:t>
            </w:r>
          </w:p>
        </w:tc>
      </w:tr>
      <w:tr>
        <w:tblPrEx>
          <w:tblCellMar>
            <w:top w:w="0" w:type="dxa"/>
            <w:left w:w="108" w:type="dxa"/>
            <w:bottom w:w="0" w:type="dxa"/>
            <w:right w:w="108" w:type="dxa"/>
          </w:tblCellMar>
        </w:tblPrEx>
        <w:trPr>
          <w:trHeight w:val="300" w:hRule="atLeast"/>
        </w:trPr>
        <w:tc>
          <w:tcPr>
            <w:tcW w:w="680" w:type="pct"/>
            <w:tcBorders>
              <w:top w:val="nil"/>
              <w:left w:val="single" w:color="auto" w:sz="4" w:space="0"/>
              <w:bottom w:val="single" w:color="auto" w:sz="4" w:space="0"/>
              <w:right w:val="single" w:color="auto" w:sz="4" w:space="0"/>
            </w:tcBorders>
            <w:noWrap/>
            <w:vAlign w:val="center"/>
          </w:tcPr>
          <w:p>
            <w:pPr>
              <w:spacing w:line="360" w:lineRule="auto"/>
              <w:jc w:val="center"/>
              <w:rPr>
                <w:sz w:val="20"/>
                <w:szCs w:val="20"/>
              </w:rPr>
            </w:pPr>
            <w:r>
              <w:rPr>
                <w:rFonts w:hint="eastAsia"/>
                <w:sz w:val="20"/>
                <w:szCs w:val="20"/>
              </w:rPr>
              <w:t>天线类型</w:t>
            </w:r>
          </w:p>
        </w:tc>
        <w:tc>
          <w:tcPr>
            <w:tcW w:w="4320" w:type="pct"/>
            <w:tcBorders>
              <w:top w:val="nil"/>
              <w:left w:val="nil"/>
              <w:bottom w:val="single" w:color="auto" w:sz="4" w:space="0"/>
              <w:right w:val="single" w:color="auto" w:sz="4" w:space="0"/>
            </w:tcBorders>
            <w:vAlign w:val="center"/>
          </w:tcPr>
          <w:p>
            <w:pPr>
              <w:spacing w:line="360" w:lineRule="auto"/>
              <w:rPr>
                <w:sz w:val="20"/>
                <w:szCs w:val="20"/>
              </w:rPr>
            </w:pPr>
            <w:r>
              <w:rPr>
                <w:rFonts w:hint="eastAsia"/>
                <w:sz w:val="20"/>
                <w:szCs w:val="20"/>
              </w:rPr>
              <w:t>外置天线连接器：8个RP-SMA型射频接口,每个射频口均可同时支持2.4/5GHZ两个频段</w:t>
            </w:r>
          </w:p>
        </w:tc>
      </w:tr>
      <w:tr>
        <w:tblPrEx>
          <w:tblCellMar>
            <w:top w:w="0" w:type="dxa"/>
            <w:left w:w="108" w:type="dxa"/>
            <w:bottom w:w="0" w:type="dxa"/>
            <w:right w:w="108" w:type="dxa"/>
          </w:tblCellMar>
        </w:tblPrEx>
        <w:trPr>
          <w:trHeight w:val="280" w:hRule="atLeast"/>
        </w:trPr>
        <w:tc>
          <w:tcPr>
            <w:tcW w:w="680" w:type="pct"/>
            <w:tcBorders>
              <w:top w:val="nil"/>
              <w:left w:val="single" w:color="auto" w:sz="4" w:space="0"/>
              <w:bottom w:val="single" w:color="000000" w:sz="4" w:space="0"/>
              <w:right w:val="single" w:color="auto" w:sz="4" w:space="0"/>
            </w:tcBorders>
            <w:noWrap/>
            <w:vAlign w:val="center"/>
          </w:tcPr>
          <w:p>
            <w:pPr>
              <w:spacing w:line="360" w:lineRule="auto"/>
              <w:jc w:val="center"/>
              <w:rPr>
                <w:sz w:val="20"/>
                <w:szCs w:val="20"/>
              </w:rPr>
            </w:pPr>
            <w:r>
              <w:rPr>
                <w:rFonts w:hint="eastAsia"/>
                <w:sz w:val="20"/>
                <w:szCs w:val="20"/>
              </w:rPr>
              <w:t>业务端口</w:t>
            </w:r>
          </w:p>
        </w:tc>
        <w:tc>
          <w:tcPr>
            <w:tcW w:w="4320" w:type="pct"/>
            <w:tcBorders>
              <w:top w:val="nil"/>
              <w:left w:val="nil"/>
              <w:bottom w:val="single" w:color="auto" w:sz="4" w:space="0"/>
              <w:right w:val="single" w:color="auto" w:sz="4" w:space="0"/>
            </w:tcBorders>
            <w:noWrap/>
            <w:vAlign w:val="center"/>
          </w:tcPr>
          <w:p>
            <w:pPr>
              <w:spacing w:line="360" w:lineRule="auto"/>
              <w:rPr>
                <w:sz w:val="20"/>
                <w:szCs w:val="20"/>
              </w:rPr>
            </w:pPr>
            <w:r>
              <w:rPr>
                <w:rFonts w:hint="eastAsia"/>
                <w:sz w:val="20"/>
                <w:szCs w:val="20"/>
              </w:rPr>
              <w:t>千兆以太网口≥2个；并需提供</w:t>
            </w:r>
            <w:r>
              <w:rPr>
                <w:sz w:val="20"/>
                <w:szCs w:val="20"/>
              </w:rPr>
              <w:t>1</w:t>
            </w:r>
            <w:r>
              <w:rPr>
                <w:rFonts w:hint="eastAsia"/>
                <w:sz w:val="20"/>
                <w:szCs w:val="20"/>
              </w:rPr>
              <w:t>个</w:t>
            </w:r>
            <w:r>
              <w:rPr>
                <w:sz w:val="20"/>
                <w:szCs w:val="20"/>
              </w:rPr>
              <w:t>RJ-45 Console</w:t>
            </w:r>
            <w:r>
              <w:rPr>
                <w:rFonts w:hint="eastAsia"/>
                <w:sz w:val="20"/>
                <w:szCs w:val="20"/>
              </w:rPr>
              <w:t>管理口</w:t>
            </w:r>
          </w:p>
        </w:tc>
      </w:tr>
      <w:tr>
        <w:tblPrEx>
          <w:tblCellMar>
            <w:top w:w="0" w:type="dxa"/>
            <w:left w:w="108" w:type="dxa"/>
            <w:bottom w:w="0" w:type="dxa"/>
            <w:right w:w="108" w:type="dxa"/>
          </w:tblCellMar>
        </w:tblPrEx>
        <w:trPr>
          <w:trHeight w:val="280" w:hRule="atLeast"/>
        </w:trPr>
        <w:tc>
          <w:tcPr>
            <w:tcW w:w="680" w:type="pct"/>
            <w:tcBorders>
              <w:top w:val="nil"/>
              <w:left w:val="single" w:color="auto" w:sz="4" w:space="0"/>
              <w:bottom w:val="single" w:color="000000" w:sz="4" w:space="0"/>
              <w:right w:val="single" w:color="auto" w:sz="4" w:space="0"/>
            </w:tcBorders>
            <w:noWrap/>
            <w:vAlign w:val="center"/>
          </w:tcPr>
          <w:p>
            <w:pPr>
              <w:spacing w:line="360" w:lineRule="auto"/>
              <w:jc w:val="center"/>
              <w:rPr>
                <w:sz w:val="20"/>
                <w:szCs w:val="20"/>
              </w:rPr>
            </w:pPr>
            <w:r>
              <w:rPr>
                <w:rFonts w:hint="eastAsia" w:ascii="微软雅黑" w:hAnsi="微软雅黑" w:eastAsia="微软雅黑"/>
                <w:sz w:val="18"/>
                <w:szCs w:val="18"/>
              </w:rPr>
              <w:t>产品兼容性</w:t>
            </w:r>
          </w:p>
        </w:tc>
        <w:tc>
          <w:tcPr>
            <w:tcW w:w="4320" w:type="pct"/>
            <w:tcBorders>
              <w:top w:val="nil"/>
              <w:left w:val="nil"/>
              <w:bottom w:val="single" w:color="auto" w:sz="4" w:space="0"/>
              <w:right w:val="single" w:color="auto" w:sz="4" w:space="0"/>
            </w:tcBorders>
            <w:noWrap/>
            <w:vAlign w:val="center"/>
          </w:tcPr>
          <w:p>
            <w:pPr>
              <w:spacing w:line="360" w:lineRule="auto"/>
              <w:rPr>
                <w:sz w:val="20"/>
                <w:szCs w:val="20"/>
              </w:rPr>
            </w:pPr>
            <w:r>
              <w:rPr>
                <w:rFonts w:hint="eastAsia"/>
                <w:sz w:val="18"/>
                <w:szCs w:val="18"/>
              </w:rPr>
              <w:t>与现有黄石中心医院6号急诊楼无线控制器A</w:t>
            </w:r>
            <w:r>
              <w:rPr>
                <w:sz w:val="18"/>
                <w:szCs w:val="18"/>
              </w:rPr>
              <w:t>C</w:t>
            </w:r>
            <w:r>
              <w:rPr>
                <w:rFonts w:hint="eastAsia"/>
                <w:sz w:val="18"/>
                <w:szCs w:val="18"/>
              </w:rPr>
              <w:t>能够完美兼容，能够纳入A</w:t>
            </w:r>
            <w:r>
              <w:rPr>
                <w:sz w:val="18"/>
                <w:szCs w:val="18"/>
              </w:rPr>
              <w:t>C</w:t>
            </w:r>
            <w:r>
              <w:rPr>
                <w:rFonts w:hint="eastAsia"/>
                <w:sz w:val="18"/>
                <w:szCs w:val="18"/>
              </w:rPr>
              <w:t>统一管理</w:t>
            </w:r>
          </w:p>
        </w:tc>
      </w:tr>
      <w:tr>
        <w:tblPrEx>
          <w:tblCellMar>
            <w:top w:w="0" w:type="dxa"/>
            <w:left w:w="108" w:type="dxa"/>
            <w:bottom w:w="0" w:type="dxa"/>
            <w:right w:w="108" w:type="dxa"/>
          </w:tblCellMar>
        </w:tblPrEx>
        <w:trPr>
          <w:trHeight w:val="280" w:hRule="atLeast"/>
        </w:trPr>
        <w:tc>
          <w:tcPr>
            <w:tcW w:w="680" w:type="pct"/>
            <w:vMerge w:val="restart"/>
            <w:tcBorders>
              <w:top w:val="nil"/>
              <w:left w:val="single" w:color="auto" w:sz="4" w:space="0"/>
              <w:bottom w:val="single" w:color="000000" w:sz="4" w:space="0"/>
              <w:right w:val="single" w:color="auto" w:sz="4" w:space="0"/>
            </w:tcBorders>
            <w:noWrap/>
            <w:vAlign w:val="center"/>
          </w:tcPr>
          <w:p>
            <w:pPr>
              <w:spacing w:line="360" w:lineRule="auto"/>
              <w:jc w:val="center"/>
              <w:rPr>
                <w:sz w:val="20"/>
                <w:szCs w:val="20"/>
              </w:rPr>
            </w:pPr>
            <w:r>
              <w:rPr>
                <w:rFonts w:hint="eastAsia"/>
                <w:sz w:val="20"/>
                <w:szCs w:val="20"/>
              </w:rPr>
              <w:t>设备供电</w:t>
            </w:r>
          </w:p>
        </w:tc>
        <w:tc>
          <w:tcPr>
            <w:tcW w:w="4320" w:type="pct"/>
            <w:tcBorders>
              <w:top w:val="nil"/>
              <w:left w:val="nil"/>
              <w:bottom w:val="single" w:color="auto" w:sz="4" w:space="0"/>
              <w:right w:val="single" w:color="auto" w:sz="4" w:space="0"/>
            </w:tcBorders>
            <w:noWrap/>
            <w:vAlign w:val="center"/>
          </w:tcPr>
          <w:p>
            <w:pPr>
              <w:spacing w:line="360" w:lineRule="auto"/>
              <w:rPr>
                <w:sz w:val="20"/>
                <w:szCs w:val="20"/>
              </w:rPr>
            </w:pPr>
            <w:r>
              <w:rPr>
                <w:rFonts w:hint="eastAsia"/>
                <w:sz w:val="20"/>
                <w:szCs w:val="20"/>
              </w:rPr>
              <w:t>支持</w:t>
            </w:r>
            <w:r>
              <w:rPr>
                <w:sz w:val="20"/>
                <w:szCs w:val="20"/>
              </w:rPr>
              <w:t>802.3at</w:t>
            </w:r>
            <w:r>
              <w:rPr>
                <w:rFonts w:hint="eastAsia"/>
                <w:sz w:val="20"/>
                <w:szCs w:val="20"/>
              </w:rPr>
              <w:t>标准的</w:t>
            </w:r>
            <w:r>
              <w:rPr>
                <w:sz w:val="20"/>
                <w:szCs w:val="20"/>
              </w:rPr>
              <w:t>PoE</w:t>
            </w:r>
            <w:r>
              <w:rPr>
                <w:rFonts w:hint="eastAsia"/>
                <w:sz w:val="20"/>
                <w:szCs w:val="20"/>
              </w:rPr>
              <w:t>供电和本地电源适配器供电两种方式</w:t>
            </w:r>
          </w:p>
        </w:tc>
      </w:tr>
      <w:tr>
        <w:tblPrEx>
          <w:tblCellMar>
            <w:top w:w="0" w:type="dxa"/>
            <w:left w:w="108" w:type="dxa"/>
            <w:bottom w:w="0" w:type="dxa"/>
            <w:right w:w="108" w:type="dxa"/>
          </w:tblCellMar>
        </w:tblPrEx>
        <w:trPr>
          <w:trHeight w:val="280" w:hRule="atLeast"/>
        </w:trPr>
        <w:tc>
          <w:tcPr>
            <w:tcW w:w="680" w:type="pct"/>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sz w:val="20"/>
                <w:szCs w:val="20"/>
              </w:rPr>
            </w:pPr>
          </w:p>
        </w:tc>
        <w:tc>
          <w:tcPr>
            <w:tcW w:w="4320" w:type="pct"/>
            <w:tcBorders>
              <w:top w:val="nil"/>
              <w:left w:val="nil"/>
              <w:bottom w:val="single" w:color="auto" w:sz="4" w:space="0"/>
              <w:right w:val="single" w:color="auto" w:sz="4" w:space="0"/>
            </w:tcBorders>
            <w:noWrap/>
            <w:vAlign w:val="center"/>
          </w:tcPr>
          <w:p>
            <w:pPr>
              <w:spacing w:line="360" w:lineRule="auto"/>
              <w:rPr>
                <w:sz w:val="20"/>
                <w:szCs w:val="20"/>
              </w:rPr>
            </w:pPr>
            <w:r>
              <w:rPr>
                <w:sz w:val="20"/>
                <w:szCs w:val="20"/>
              </w:rPr>
              <w:t>AP</w:t>
            </w:r>
            <w:r>
              <w:rPr>
                <w:rFonts w:hint="eastAsia"/>
                <w:sz w:val="20"/>
                <w:szCs w:val="20"/>
              </w:rPr>
              <w:t>满负荷工作功耗≤</w:t>
            </w:r>
            <w:r>
              <w:rPr>
                <w:sz w:val="20"/>
                <w:szCs w:val="20"/>
              </w:rPr>
              <w:t>1</w:t>
            </w:r>
            <w:r>
              <w:rPr>
                <w:rFonts w:hint="eastAsia"/>
                <w:sz w:val="20"/>
                <w:szCs w:val="20"/>
              </w:rPr>
              <w:t>5</w:t>
            </w:r>
            <w:r>
              <w:rPr>
                <w:sz w:val="20"/>
                <w:szCs w:val="20"/>
              </w:rPr>
              <w:t>W</w:t>
            </w:r>
          </w:p>
        </w:tc>
      </w:tr>
      <w:tr>
        <w:tblPrEx>
          <w:tblCellMar>
            <w:top w:w="0" w:type="dxa"/>
            <w:left w:w="108" w:type="dxa"/>
            <w:bottom w:w="0" w:type="dxa"/>
            <w:right w:w="108" w:type="dxa"/>
          </w:tblCellMar>
        </w:tblPrEx>
        <w:trPr>
          <w:trHeight w:val="280" w:hRule="atLeast"/>
        </w:trPr>
        <w:tc>
          <w:tcPr>
            <w:tcW w:w="680" w:type="pct"/>
            <w:tcBorders>
              <w:top w:val="nil"/>
              <w:left w:val="single" w:color="auto" w:sz="4" w:space="0"/>
              <w:bottom w:val="single" w:color="auto" w:sz="4" w:space="0"/>
              <w:right w:val="single" w:color="auto" w:sz="4" w:space="0"/>
            </w:tcBorders>
            <w:noWrap/>
            <w:vAlign w:val="center"/>
          </w:tcPr>
          <w:p>
            <w:pPr>
              <w:spacing w:line="360" w:lineRule="auto"/>
              <w:jc w:val="center"/>
              <w:rPr>
                <w:sz w:val="20"/>
                <w:szCs w:val="20"/>
              </w:rPr>
            </w:pPr>
            <w:r>
              <w:rPr>
                <w:rFonts w:hint="eastAsia"/>
                <w:sz w:val="20"/>
                <w:szCs w:val="20"/>
              </w:rPr>
              <w:t>发射功率</w:t>
            </w:r>
          </w:p>
        </w:tc>
        <w:tc>
          <w:tcPr>
            <w:tcW w:w="4320" w:type="pct"/>
            <w:tcBorders>
              <w:top w:val="nil"/>
              <w:left w:val="nil"/>
              <w:bottom w:val="single" w:color="auto" w:sz="4" w:space="0"/>
              <w:right w:val="single" w:color="auto" w:sz="4" w:space="0"/>
            </w:tcBorders>
            <w:noWrap/>
            <w:vAlign w:val="center"/>
          </w:tcPr>
          <w:p>
            <w:pPr>
              <w:spacing w:line="360" w:lineRule="auto"/>
              <w:rPr>
                <w:sz w:val="20"/>
                <w:szCs w:val="20"/>
              </w:rPr>
            </w:pPr>
            <w:r>
              <w:rPr>
                <w:sz w:val="20"/>
                <w:szCs w:val="20"/>
              </w:rPr>
              <w:t>AP</w:t>
            </w:r>
            <w:r>
              <w:rPr>
                <w:rFonts w:hint="eastAsia"/>
                <w:sz w:val="20"/>
                <w:szCs w:val="20"/>
              </w:rPr>
              <w:t>发射功率≤</w:t>
            </w:r>
            <w:r>
              <w:rPr>
                <w:sz w:val="20"/>
                <w:szCs w:val="20"/>
              </w:rPr>
              <w:t>20dBm</w:t>
            </w:r>
            <w:r>
              <w:rPr>
                <w:rFonts w:hint="eastAsia"/>
                <w:sz w:val="20"/>
                <w:szCs w:val="20"/>
              </w:rPr>
              <w:t>（最大不超过</w:t>
            </w:r>
            <w:r>
              <w:rPr>
                <w:sz w:val="20"/>
                <w:szCs w:val="20"/>
              </w:rPr>
              <w:t>100mw</w:t>
            </w:r>
            <w:r>
              <w:rPr>
                <w:rFonts w:hint="eastAsia"/>
                <w:sz w:val="20"/>
                <w:szCs w:val="20"/>
              </w:rPr>
              <w:t>），且功率可调节（调节粒度为</w:t>
            </w:r>
            <w:r>
              <w:rPr>
                <w:sz w:val="20"/>
                <w:szCs w:val="20"/>
              </w:rPr>
              <w:t>1dBm</w:t>
            </w:r>
            <w:r>
              <w:rPr>
                <w:rFonts w:hint="eastAsia"/>
                <w:sz w:val="20"/>
                <w:szCs w:val="20"/>
              </w:rPr>
              <w:t>，调节范围为</w:t>
            </w:r>
            <w:r>
              <w:rPr>
                <w:sz w:val="20"/>
                <w:szCs w:val="20"/>
              </w:rPr>
              <w:t>1dBm~20dBm</w:t>
            </w:r>
            <w:r>
              <w:rPr>
                <w:rFonts w:hint="eastAsia"/>
                <w:sz w:val="20"/>
                <w:szCs w:val="20"/>
              </w:rPr>
              <w:t>）</w:t>
            </w:r>
          </w:p>
        </w:tc>
      </w:tr>
      <w:tr>
        <w:tblPrEx>
          <w:tblCellMar>
            <w:top w:w="0" w:type="dxa"/>
            <w:left w:w="108" w:type="dxa"/>
            <w:bottom w:w="0" w:type="dxa"/>
            <w:right w:w="108" w:type="dxa"/>
          </w:tblCellMar>
        </w:tblPrEx>
        <w:trPr>
          <w:trHeight w:val="357" w:hRule="atLeast"/>
        </w:trPr>
        <w:tc>
          <w:tcPr>
            <w:tcW w:w="680" w:type="pct"/>
            <w:tcBorders>
              <w:top w:val="single" w:color="auto" w:sz="4" w:space="0"/>
              <w:left w:val="single" w:color="auto" w:sz="4" w:space="0"/>
              <w:bottom w:val="nil"/>
              <w:right w:val="single" w:color="auto" w:sz="4" w:space="0"/>
            </w:tcBorders>
            <w:noWrap/>
            <w:vAlign w:val="center"/>
          </w:tcPr>
          <w:p>
            <w:pPr>
              <w:spacing w:line="360" w:lineRule="auto"/>
              <w:jc w:val="center"/>
              <w:rPr>
                <w:sz w:val="20"/>
                <w:szCs w:val="20"/>
              </w:rPr>
            </w:pPr>
            <w:r>
              <w:rPr>
                <w:rFonts w:hint="eastAsia"/>
                <w:sz w:val="20"/>
                <w:szCs w:val="20"/>
              </w:rPr>
              <w:t>认证</w:t>
            </w:r>
          </w:p>
        </w:tc>
        <w:tc>
          <w:tcPr>
            <w:tcW w:w="4320" w:type="pct"/>
            <w:tcBorders>
              <w:top w:val="single" w:color="auto" w:sz="4" w:space="0"/>
              <w:left w:val="nil"/>
              <w:bottom w:val="single" w:color="auto" w:sz="4" w:space="0"/>
              <w:right w:val="single" w:color="auto" w:sz="4" w:space="0"/>
            </w:tcBorders>
            <w:vAlign w:val="center"/>
          </w:tcPr>
          <w:p>
            <w:pPr>
              <w:spacing w:line="360" w:lineRule="auto"/>
              <w:rPr>
                <w:sz w:val="20"/>
                <w:szCs w:val="20"/>
              </w:rPr>
            </w:pPr>
            <w:r>
              <w:rPr>
                <w:rFonts w:hint="eastAsia"/>
                <w:sz w:val="20"/>
                <w:szCs w:val="20"/>
              </w:rPr>
              <w:t>支持</w:t>
            </w:r>
            <w:r>
              <w:rPr>
                <w:sz w:val="20"/>
                <w:szCs w:val="20"/>
              </w:rPr>
              <w:t xml:space="preserve">802.1x </w:t>
            </w:r>
            <w:r>
              <w:rPr>
                <w:rFonts w:hint="eastAsia"/>
                <w:sz w:val="20"/>
                <w:szCs w:val="20"/>
              </w:rPr>
              <w:t>认证、</w:t>
            </w:r>
            <w:r>
              <w:rPr>
                <w:sz w:val="20"/>
                <w:szCs w:val="20"/>
              </w:rPr>
              <w:t xml:space="preserve">MAC </w:t>
            </w:r>
            <w:r>
              <w:rPr>
                <w:rFonts w:hint="eastAsia"/>
                <w:sz w:val="20"/>
                <w:szCs w:val="20"/>
              </w:rPr>
              <w:t>地址认证、</w:t>
            </w:r>
            <w:r>
              <w:rPr>
                <w:sz w:val="20"/>
                <w:szCs w:val="20"/>
              </w:rPr>
              <w:t xml:space="preserve">PSK </w:t>
            </w:r>
            <w:r>
              <w:rPr>
                <w:rFonts w:hint="eastAsia"/>
                <w:sz w:val="20"/>
                <w:szCs w:val="20"/>
              </w:rPr>
              <w:t>认证、</w:t>
            </w:r>
            <w:r>
              <w:rPr>
                <w:sz w:val="20"/>
                <w:szCs w:val="20"/>
              </w:rPr>
              <w:t>Portal</w:t>
            </w:r>
            <w:r>
              <w:rPr>
                <w:rFonts w:hint="eastAsia"/>
                <w:sz w:val="20"/>
                <w:szCs w:val="20"/>
              </w:rPr>
              <w:t>认证等</w:t>
            </w:r>
          </w:p>
        </w:tc>
      </w:tr>
      <w:tr>
        <w:tblPrEx>
          <w:tblCellMar>
            <w:top w:w="0" w:type="dxa"/>
            <w:left w:w="108" w:type="dxa"/>
            <w:bottom w:w="0" w:type="dxa"/>
            <w:right w:w="108" w:type="dxa"/>
          </w:tblCellMar>
        </w:tblPrEx>
        <w:trPr>
          <w:trHeight w:val="300" w:hRule="atLeast"/>
        </w:trPr>
        <w:tc>
          <w:tcPr>
            <w:tcW w:w="680" w:type="pct"/>
            <w:tcBorders>
              <w:top w:val="nil"/>
              <w:left w:val="single" w:color="auto" w:sz="4" w:space="0"/>
              <w:bottom w:val="single" w:color="auto" w:sz="4" w:space="0"/>
              <w:right w:val="single" w:color="auto" w:sz="4" w:space="0"/>
            </w:tcBorders>
            <w:noWrap/>
            <w:vAlign w:val="center"/>
          </w:tcPr>
          <w:p>
            <w:pPr>
              <w:spacing w:line="360" w:lineRule="auto"/>
              <w:jc w:val="center"/>
              <w:rPr>
                <w:sz w:val="20"/>
                <w:szCs w:val="20"/>
              </w:rPr>
            </w:pPr>
            <w:r>
              <w:rPr>
                <w:rFonts w:hint="eastAsia"/>
                <w:sz w:val="20"/>
                <w:szCs w:val="20"/>
              </w:rPr>
              <w:t>品牌要求</w:t>
            </w:r>
          </w:p>
        </w:tc>
        <w:tc>
          <w:tcPr>
            <w:tcW w:w="4320" w:type="pct"/>
            <w:tcBorders>
              <w:top w:val="nil"/>
              <w:left w:val="nil"/>
              <w:bottom w:val="single" w:color="auto" w:sz="4" w:space="0"/>
              <w:right w:val="single" w:color="auto" w:sz="4" w:space="0"/>
            </w:tcBorders>
            <w:vAlign w:val="center"/>
          </w:tcPr>
          <w:p>
            <w:pPr>
              <w:spacing w:line="360" w:lineRule="auto"/>
              <w:rPr>
                <w:sz w:val="20"/>
                <w:szCs w:val="20"/>
              </w:rPr>
            </w:pPr>
            <w:r>
              <w:rPr>
                <w:rFonts w:hint="eastAsia"/>
                <w:sz w:val="20"/>
                <w:szCs w:val="20"/>
              </w:rPr>
              <w:t>为保证兼容性与统一管理，要求本次招标的AP和原有无线系统能实现对接</w:t>
            </w:r>
          </w:p>
        </w:tc>
      </w:tr>
    </w:tbl>
    <w:p>
      <w:pPr>
        <w:spacing w:line="360" w:lineRule="auto"/>
        <w:rPr>
          <w:color w:val="000000" w:themeColor="text1"/>
          <w14:textFill>
            <w14:solidFill>
              <w14:schemeClr w14:val="tx1"/>
            </w14:solidFill>
          </w14:textFill>
        </w:rPr>
      </w:pPr>
    </w:p>
    <w:p>
      <w:pPr>
        <w:adjustRightInd w:val="0"/>
        <w:snapToGrid w:val="0"/>
        <w:spacing w:line="360" w:lineRule="auto"/>
        <w:ind w:firstLine="480" w:firstLineChars="200"/>
        <w:rPr>
          <w:rFonts w:hAnsi="宋体" w:cs="宋体"/>
          <w:bCs/>
          <w:sz w:val="24"/>
          <w:szCs w:val="24"/>
        </w:rPr>
      </w:pPr>
      <w:r>
        <w:rPr>
          <w:rFonts w:hint="eastAsia" w:hAnsi="宋体" w:cs="宋体"/>
          <w:bCs/>
          <w:sz w:val="24"/>
          <w:szCs w:val="24"/>
        </w:rPr>
        <w:t>无线施工维修整体要求：</w:t>
      </w:r>
    </w:p>
    <w:tbl>
      <w:tblPr>
        <w:tblStyle w:val="11"/>
        <w:tblW w:w="5000" w:type="pct"/>
        <w:tblInd w:w="0" w:type="dxa"/>
        <w:tblLayout w:type="fixed"/>
        <w:tblCellMar>
          <w:top w:w="0" w:type="dxa"/>
          <w:left w:w="108" w:type="dxa"/>
          <w:bottom w:w="0" w:type="dxa"/>
          <w:right w:w="108" w:type="dxa"/>
        </w:tblCellMar>
      </w:tblPr>
      <w:tblGrid>
        <w:gridCol w:w="1256"/>
        <w:gridCol w:w="7976"/>
      </w:tblGrid>
      <w:tr>
        <w:tblPrEx>
          <w:tblCellMar>
            <w:top w:w="0" w:type="dxa"/>
            <w:left w:w="108" w:type="dxa"/>
            <w:bottom w:w="0" w:type="dxa"/>
            <w:right w:w="108" w:type="dxa"/>
          </w:tblCellMar>
        </w:tblPrEx>
        <w:trPr>
          <w:trHeight w:val="280" w:hRule="atLeast"/>
        </w:trPr>
        <w:tc>
          <w:tcPr>
            <w:tcW w:w="680"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b/>
                <w:sz w:val="20"/>
                <w:szCs w:val="20"/>
              </w:rPr>
            </w:pPr>
            <w:r>
              <w:rPr>
                <w:rFonts w:hint="eastAsia"/>
                <w:b/>
                <w:sz w:val="20"/>
                <w:szCs w:val="20"/>
              </w:rPr>
              <w:t>技术指标</w:t>
            </w:r>
          </w:p>
        </w:tc>
        <w:tc>
          <w:tcPr>
            <w:tcW w:w="4320" w:type="pct"/>
            <w:tcBorders>
              <w:top w:val="single" w:color="auto" w:sz="4" w:space="0"/>
              <w:left w:val="nil"/>
              <w:bottom w:val="single" w:color="auto" w:sz="4" w:space="0"/>
              <w:right w:val="single" w:color="auto" w:sz="4" w:space="0"/>
            </w:tcBorders>
            <w:noWrap/>
            <w:vAlign w:val="center"/>
          </w:tcPr>
          <w:p>
            <w:pPr>
              <w:spacing w:line="360" w:lineRule="auto"/>
              <w:jc w:val="center"/>
              <w:rPr>
                <w:b/>
                <w:sz w:val="20"/>
                <w:szCs w:val="20"/>
              </w:rPr>
            </w:pPr>
            <w:r>
              <w:rPr>
                <w:rFonts w:ascii="微软雅黑" w:hAnsi="微软雅黑" w:eastAsia="微软雅黑" w:cs="宋体"/>
                <w:b/>
                <w:bCs/>
                <w:kern w:val="0"/>
                <w:sz w:val="18"/>
                <w:szCs w:val="18"/>
                <w:lang w:val="zh-TW" w:eastAsia="zh-TW"/>
              </w:rPr>
              <w:t>技术规格要求</w:t>
            </w:r>
          </w:p>
        </w:tc>
      </w:tr>
      <w:tr>
        <w:tblPrEx>
          <w:tblCellMar>
            <w:top w:w="0" w:type="dxa"/>
            <w:left w:w="108" w:type="dxa"/>
            <w:bottom w:w="0" w:type="dxa"/>
            <w:right w:w="108" w:type="dxa"/>
          </w:tblCellMar>
        </w:tblPrEx>
        <w:trPr>
          <w:trHeight w:val="900" w:hRule="atLeast"/>
        </w:trPr>
        <w:tc>
          <w:tcPr>
            <w:tcW w:w="680" w:type="pct"/>
            <w:tcBorders>
              <w:top w:val="nil"/>
              <w:left w:val="single" w:color="auto" w:sz="4" w:space="0"/>
              <w:bottom w:val="single" w:color="auto" w:sz="4" w:space="0"/>
              <w:right w:val="single" w:color="auto" w:sz="4" w:space="0"/>
            </w:tcBorders>
            <w:noWrap/>
            <w:vAlign w:val="center"/>
          </w:tcPr>
          <w:p>
            <w:pPr>
              <w:spacing w:line="360" w:lineRule="auto"/>
              <w:jc w:val="center"/>
              <w:rPr>
                <w:sz w:val="20"/>
                <w:szCs w:val="20"/>
              </w:rPr>
            </w:pPr>
            <w:r>
              <w:rPr>
                <w:rFonts w:hint="eastAsia"/>
                <w:sz w:val="20"/>
                <w:szCs w:val="20"/>
              </w:rPr>
              <w:t>维修范围</w:t>
            </w:r>
          </w:p>
        </w:tc>
        <w:tc>
          <w:tcPr>
            <w:tcW w:w="4320" w:type="pct"/>
            <w:tcBorders>
              <w:top w:val="nil"/>
              <w:left w:val="nil"/>
              <w:bottom w:val="single" w:color="auto" w:sz="4" w:space="0"/>
              <w:right w:val="single" w:color="auto" w:sz="4" w:space="0"/>
            </w:tcBorders>
            <w:vAlign w:val="center"/>
          </w:tcPr>
          <w:p>
            <w:pPr>
              <w:spacing w:line="360" w:lineRule="auto"/>
              <w:rPr>
                <w:sz w:val="20"/>
                <w:szCs w:val="20"/>
              </w:rPr>
            </w:pPr>
            <w:r>
              <w:rPr>
                <w:rFonts w:hint="eastAsia"/>
                <w:sz w:val="20"/>
                <w:szCs w:val="20"/>
              </w:rPr>
              <w:t>6号楼1楼、2楼、9楼、1</w:t>
            </w:r>
            <w:r>
              <w:rPr>
                <w:sz w:val="20"/>
                <w:szCs w:val="20"/>
              </w:rPr>
              <w:t>0</w:t>
            </w:r>
            <w:r>
              <w:rPr>
                <w:rFonts w:hint="eastAsia"/>
                <w:sz w:val="20"/>
                <w:szCs w:val="20"/>
              </w:rPr>
              <w:t>楼、1</w:t>
            </w:r>
            <w:r>
              <w:rPr>
                <w:sz w:val="20"/>
                <w:szCs w:val="20"/>
              </w:rPr>
              <w:t>1</w:t>
            </w:r>
            <w:r>
              <w:rPr>
                <w:rFonts w:hint="eastAsia"/>
                <w:sz w:val="20"/>
                <w:szCs w:val="20"/>
              </w:rPr>
              <w:t>楼，对现有的无线点位进行维修和增加，保障pda和医护办公人员使用范围内的无线覆盖。</w:t>
            </w:r>
          </w:p>
        </w:tc>
      </w:tr>
      <w:tr>
        <w:tblPrEx>
          <w:tblCellMar>
            <w:top w:w="0" w:type="dxa"/>
            <w:left w:w="108" w:type="dxa"/>
            <w:bottom w:w="0" w:type="dxa"/>
            <w:right w:w="108" w:type="dxa"/>
          </w:tblCellMar>
        </w:tblPrEx>
        <w:trPr>
          <w:trHeight w:val="900" w:hRule="atLeast"/>
        </w:trPr>
        <w:tc>
          <w:tcPr>
            <w:tcW w:w="680" w:type="pct"/>
            <w:tcBorders>
              <w:top w:val="nil"/>
              <w:left w:val="single" w:color="auto" w:sz="4" w:space="0"/>
              <w:bottom w:val="single" w:color="auto" w:sz="4" w:space="0"/>
              <w:right w:val="single" w:color="auto" w:sz="4" w:space="0"/>
            </w:tcBorders>
            <w:noWrap/>
            <w:vAlign w:val="center"/>
          </w:tcPr>
          <w:p>
            <w:pPr>
              <w:spacing w:line="360" w:lineRule="auto"/>
              <w:jc w:val="center"/>
              <w:rPr>
                <w:sz w:val="20"/>
                <w:szCs w:val="20"/>
              </w:rPr>
            </w:pPr>
            <w:r>
              <w:rPr>
                <w:rFonts w:hint="eastAsia"/>
                <w:sz w:val="20"/>
                <w:szCs w:val="20"/>
              </w:rPr>
              <w:t>信号值</w:t>
            </w:r>
          </w:p>
        </w:tc>
        <w:tc>
          <w:tcPr>
            <w:tcW w:w="4320" w:type="pct"/>
            <w:tcBorders>
              <w:top w:val="nil"/>
              <w:left w:val="nil"/>
              <w:bottom w:val="single" w:color="auto" w:sz="4" w:space="0"/>
              <w:right w:val="single" w:color="auto" w:sz="4" w:space="0"/>
            </w:tcBorders>
            <w:vAlign w:val="center"/>
          </w:tcPr>
          <w:p>
            <w:pPr>
              <w:spacing w:line="360" w:lineRule="auto"/>
              <w:rPr>
                <w:sz w:val="20"/>
                <w:szCs w:val="20"/>
              </w:rPr>
            </w:pPr>
            <w:r>
              <w:rPr>
                <w:rFonts w:hint="eastAsia"/>
                <w:sz w:val="20"/>
                <w:szCs w:val="20"/>
              </w:rPr>
              <w:t>对无线覆盖强度进行检测出具信号检测报告注明不足点位进行整改，整改后无线覆盖区域内不低于-</w:t>
            </w:r>
            <w:r>
              <w:rPr>
                <w:sz w:val="20"/>
                <w:szCs w:val="20"/>
              </w:rPr>
              <w:t>60</w:t>
            </w:r>
            <w:r>
              <w:rPr>
                <w:rFonts w:hint="eastAsia"/>
                <w:sz w:val="20"/>
                <w:szCs w:val="20"/>
              </w:rPr>
              <w:t>dBm。</w:t>
            </w:r>
          </w:p>
        </w:tc>
      </w:tr>
      <w:tr>
        <w:tblPrEx>
          <w:tblCellMar>
            <w:top w:w="0" w:type="dxa"/>
            <w:left w:w="108" w:type="dxa"/>
            <w:bottom w:w="0" w:type="dxa"/>
            <w:right w:w="108" w:type="dxa"/>
          </w:tblCellMar>
        </w:tblPrEx>
        <w:trPr>
          <w:trHeight w:val="300" w:hRule="atLeast"/>
        </w:trPr>
        <w:tc>
          <w:tcPr>
            <w:tcW w:w="680" w:type="pct"/>
            <w:tcBorders>
              <w:top w:val="nil"/>
              <w:left w:val="single" w:color="auto" w:sz="4" w:space="0"/>
              <w:bottom w:val="single" w:color="auto" w:sz="4" w:space="0"/>
              <w:right w:val="single" w:color="auto" w:sz="4" w:space="0"/>
            </w:tcBorders>
            <w:noWrap/>
            <w:vAlign w:val="center"/>
          </w:tcPr>
          <w:p>
            <w:pPr>
              <w:spacing w:line="360" w:lineRule="auto"/>
              <w:jc w:val="center"/>
              <w:rPr>
                <w:sz w:val="20"/>
                <w:szCs w:val="20"/>
              </w:rPr>
            </w:pPr>
            <w:r>
              <w:rPr>
                <w:rFonts w:hint="eastAsia"/>
                <w:sz w:val="20"/>
                <w:szCs w:val="20"/>
              </w:rPr>
              <w:t>漫游优化</w:t>
            </w:r>
          </w:p>
        </w:tc>
        <w:tc>
          <w:tcPr>
            <w:tcW w:w="4320" w:type="pct"/>
            <w:tcBorders>
              <w:top w:val="nil"/>
              <w:left w:val="nil"/>
              <w:bottom w:val="single" w:color="auto" w:sz="4" w:space="0"/>
              <w:right w:val="single" w:color="auto" w:sz="4" w:space="0"/>
            </w:tcBorders>
            <w:vAlign w:val="center"/>
          </w:tcPr>
          <w:p>
            <w:pPr>
              <w:spacing w:line="360" w:lineRule="auto"/>
              <w:rPr>
                <w:sz w:val="20"/>
                <w:szCs w:val="20"/>
              </w:rPr>
            </w:pPr>
            <w:r>
              <w:rPr>
                <w:rFonts w:hint="eastAsia"/>
                <w:sz w:val="20"/>
                <w:szCs w:val="20"/>
              </w:rPr>
              <w:t>保障pda在覆盖范围内移动软件正常不掉线，漫游过程中丢包不超过</w:t>
            </w:r>
            <w:r>
              <w:rPr>
                <w:sz w:val="20"/>
                <w:szCs w:val="20"/>
              </w:rPr>
              <w:t>3</w:t>
            </w:r>
            <w:r>
              <w:rPr>
                <w:rFonts w:hint="eastAsia"/>
                <w:sz w:val="20"/>
                <w:szCs w:val="20"/>
              </w:rPr>
              <w:t>个（ping检测）。</w:t>
            </w:r>
          </w:p>
        </w:tc>
      </w:tr>
      <w:tr>
        <w:tblPrEx>
          <w:tblCellMar>
            <w:top w:w="0" w:type="dxa"/>
            <w:left w:w="108" w:type="dxa"/>
            <w:bottom w:w="0" w:type="dxa"/>
            <w:right w:w="108" w:type="dxa"/>
          </w:tblCellMar>
        </w:tblPrEx>
        <w:trPr>
          <w:trHeight w:val="280" w:hRule="atLeast"/>
        </w:trPr>
        <w:tc>
          <w:tcPr>
            <w:tcW w:w="680" w:type="pct"/>
            <w:tcBorders>
              <w:top w:val="nil"/>
              <w:left w:val="single" w:color="auto" w:sz="4" w:space="0"/>
              <w:bottom w:val="single" w:color="000000" w:sz="4" w:space="0"/>
              <w:right w:val="single" w:color="auto" w:sz="4" w:space="0"/>
            </w:tcBorders>
            <w:noWrap/>
            <w:vAlign w:val="center"/>
          </w:tcPr>
          <w:p>
            <w:pPr>
              <w:spacing w:line="360" w:lineRule="auto"/>
              <w:jc w:val="center"/>
              <w:rPr>
                <w:sz w:val="20"/>
                <w:szCs w:val="20"/>
              </w:rPr>
            </w:pPr>
            <w:r>
              <w:rPr>
                <w:rFonts w:hint="eastAsia"/>
                <w:sz w:val="20"/>
                <w:szCs w:val="20"/>
              </w:rPr>
              <w:t>图纸更新</w:t>
            </w:r>
          </w:p>
        </w:tc>
        <w:tc>
          <w:tcPr>
            <w:tcW w:w="4320" w:type="pct"/>
            <w:tcBorders>
              <w:top w:val="nil"/>
              <w:left w:val="nil"/>
              <w:bottom w:val="single" w:color="auto" w:sz="4" w:space="0"/>
              <w:right w:val="single" w:color="auto" w:sz="4" w:space="0"/>
            </w:tcBorders>
            <w:noWrap/>
            <w:vAlign w:val="center"/>
          </w:tcPr>
          <w:p>
            <w:pPr>
              <w:spacing w:line="360" w:lineRule="auto"/>
              <w:rPr>
                <w:sz w:val="20"/>
                <w:szCs w:val="20"/>
              </w:rPr>
            </w:pPr>
            <w:r>
              <w:rPr>
                <w:rFonts w:hint="eastAsia"/>
                <w:sz w:val="20"/>
                <w:szCs w:val="20"/>
              </w:rPr>
              <w:t>在原有图纸上，对主ap和ap馈线进行标注和关联，ap命名和图纸命名进行一一对应。</w:t>
            </w:r>
          </w:p>
        </w:tc>
      </w:tr>
      <w:tr>
        <w:tblPrEx>
          <w:tblCellMar>
            <w:top w:w="0" w:type="dxa"/>
            <w:left w:w="108" w:type="dxa"/>
            <w:bottom w:w="0" w:type="dxa"/>
            <w:right w:w="108" w:type="dxa"/>
          </w:tblCellMar>
        </w:tblPrEx>
        <w:trPr>
          <w:trHeight w:val="280" w:hRule="atLeast"/>
        </w:trPr>
        <w:tc>
          <w:tcPr>
            <w:tcW w:w="680" w:type="pct"/>
            <w:vMerge w:val="restart"/>
            <w:tcBorders>
              <w:top w:val="nil"/>
              <w:left w:val="single" w:color="auto" w:sz="4" w:space="0"/>
              <w:bottom w:val="single" w:color="000000" w:sz="4" w:space="0"/>
              <w:right w:val="single" w:color="auto" w:sz="4" w:space="0"/>
            </w:tcBorders>
            <w:noWrap/>
            <w:vAlign w:val="center"/>
          </w:tcPr>
          <w:p>
            <w:pPr>
              <w:spacing w:line="360" w:lineRule="auto"/>
              <w:jc w:val="center"/>
              <w:rPr>
                <w:sz w:val="20"/>
                <w:szCs w:val="20"/>
              </w:rPr>
            </w:pPr>
            <w:r>
              <w:rPr>
                <w:rFonts w:hint="eastAsia"/>
                <w:sz w:val="20"/>
                <w:szCs w:val="20"/>
              </w:rPr>
              <w:t>维修施工</w:t>
            </w:r>
          </w:p>
          <w:p>
            <w:pPr>
              <w:spacing w:line="360" w:lineRule="auto"/>
              <w:jc w:val="center"/>
              <w:rPr>
                <w:sz w:val="20"/>
                <w:szCs w:val="20"/>
              </w:rPr>
            </w:pPr>
            <w:r>
              <w:rPr>
                <w:rFonts w:hint="eastAsia"/>
                <w:sz w:val="20"/>
                <w:szCs w:val="20"/>
              </w:rPr>
              <w:t>维修范围</w:t>
            </w:r>
          </w:p>
        </w:tc>
        <w:tc>
          <w:tcPr>
            <w:tcW w:w="4320" w:type="pct"/>
            <w:tcBorders>
              <w:top w:val="nil"/>
              <w:left w:val="nil"/>
              <w:bottom w:val="single" w:color="auto" w:sz="4" w:space="0"/>
              <w:right w:val="single" w:color="auto" w:sz="4" w:space="0"/>
            </w:tcBorders>
            <w:noWrap/>
            <w:vAlign w:val="center"/>
          </w:tcPr>
          <w:p>
            <w:pPr>
              <w:spacing w:line="360" w:lineRule="auto"/>
              <w:rPr>
                <w:sz w:val="20"/>
                <w:szCs w:val="20"/>
              </w:rPr>
            </w:pPr>
            <w:r>
              <w:rPr>
                <w:rFonts w:hint="eastAsia"/>
                <w:sz w:val="20"/>
                <w:szCs w:val="20"/>
              </w:rPr>
              <w:t>不限于对供电模块、馈线、放装ap、主ap、网络线缆损坏件的维修和更换，保证掉线ap正常工作，正常放出无线信号。</w:t>
            </w:r>
          </w:p>
        </w:tc>
      </w:tr>
      <w:tr>
        <w:tblPrEx>
          <w:tblCellMar>
            <w:top w:w="0" w:type="dxa"/>
            <w:left w:w="108" w:type="dxa"/>
            <w:bottom w:w="0" w:type="dxa"/>
            <w:right w:w="108" w:type="dxa"/>
          </w:tblCellMar>
        </w:tblPrEx>
        <w:trPr>
          <w:trHeight w:val="280" w:hRule="atLeast"/>
        </w:trPr>
        <w:tc>
          <w:tcPr>
            <w:tcW w:w="680" w:type="pct"/>
            <w:vMerge w:val="continue"/>
            <w:tcBorders>
              <w:top w:val="nil"/>
              <w:left w:val="single" w:color="auto" w:sz="4" w:space="0"/>
              <w:bottom w:val="single" w:color="000000" w:sz="4" w:space="0"/>
              <w:right w:val="single" w:color="auto" w:sz="4" w:space="0"/>
            </w:tcBorders>
            <w:vAlign w:val="center"/>
          </w:tcPr>
          <w:p>
            <w:pPr>
              <w:spacing w:line="360" w:lineRule="auto"/>
              <w:jc w:val="center"/>
              <w:rPr>
                <w:sz w:val="20"/>
                <w:szCs w:val="20"/>
              </w:rPr>
            </w:pPr>
          </w:p>
        </w:tc>
        <w:tc>
          <w:tcPr>
            <w:tcW w:w="4320" w:type="pct"/>
            <w:tcBorders>
              <w:top w:val="nil"/>
              <w:left w:val="nil"/>
              <w:bottom w:val="single" w:color="auto" w:sz="4" w:space="0"/>
              <w:right w:val="single" w:color="auto" w:sz="4" w:space="0"/>
            </w:tcBorders>
            <w:noWrap/>
            <w:vAlign w:val="center"/>
          </w:tcPr>
          <w:p>
            <w:pPr>
              <w:spacing w:line="360" w:lineRule="auto"/>
              <w:jc w:val="center"/>
              <w:rPr>
                <w:sz w:val="20"/>
                <w:szCs w:val="20"/>
              </w:rPr>
            </w:pPr>
            <w:r>
              <w:rPr>
                <w:rFonts w:hint="eastAsia"/>
                <w:sz w:val="20"/>
                <w:szCs w:val="20"/>
              </w:rPr>
              <w:t>6号楼1楼、2楼、9楼、1</w:t>
            </w:r>
            <w:r>
              <w:rPr>
                <w:sz w:val="20"/>
                <w:szCs w:val="20"/>
              </w:rPr>
              <w:t>0</w:t>
            </w:r>
            <w:r>
              <w:rPr>
                <w:rFonts w:hint="eastAsia"/>
                <w:sz w:val="20"/>
                <w:szCs w:val="20"/>
              </w:rPr>
              <w:t>楼、1</w:t>
            </w:r>
            <w:r>
              <w:rPr>
                <w:sz w:val="20"/>
                <w:szCs w:val="20"/>
              </w:rPr>
              <w:t>1</w:t>
            </w:r>
            <w:r>
              <w:rPr>
                <w:rFonts w:hint="eastAsia"/>
                <w:sz w:val="20"/>
                <w:szCs w:val="20"/>
              </w:rPr>
              <w:t>楼，对现有的无线点位进行维修和增加，保障pda和医护办公人员使用范围内的无线覆盖。</w:t>
            </w:r>
          </w:p>
        </w:tc>
      </w:tr>
    </w:tbl>
    <w:p>
      <w:pPr>
        <w:spacing w:line="360" w:lineRule="auto"/>
        <w:rPr>
          <w:b/>
          <w:color w:val="000000" w:themeColor="text1"/>
          <w14:textFill>
            <w14:solidFill>
              <w14:schemeClr w14:val="tx1"/>
            </w14:solidFill>
          </w14:textFill>
        </w:rPr>
      </w:pPr>
    </w:p>
    <w:p>
      <w:pPr>
        <w:adjustRightInd w:val="0"/>
        <w:snapToGrid w:val="0"/>
        <w:spacing w:line="360" w:lineRule="auto"/>
        <w:ind w:firstLine="480" w:firstLineChars="200"/>
        <w:rPr>
          <w:rFonts w:hAnsi="宋体" w:cs="宋体"/>
          <w:bCs/>
          <w:sz w:val="24"/>
          <w:szCs w:val="24"/>
        </w:rPr>
      </w:pPr>
      <w:r>
        <w:rPr>
          <w:rFonts w:hint="eastAsia" w:hAnsi="宋体" w:cs="宋体"/>
          <w:bCs/>
          <w:sz w:val="24"/>
          <w:szCs w:val="24"/>
        </w:rPr>
        <w:t>无线自动化运维系统：</w:t>
      </w:r>
    </w:p>
    <w:tbl>
      <w:tblPr>
        <w:tblStyle w:val="20"/>
        <w:tblW w:w="94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77"/>
        <w:gridCol w:w="1200"/>
        <w:gridCol w:w="1701"/>
        <w:gridCol w:w="5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777" w:type="dxa"/>
            <w:shd w:val="clear" w:color="auto" w:fill="FFFFFF"/>
            <w:vAlign w:val="center"/>
          </w:tcPr>
          <w:p>
            <w:pPr>
              <w:jc w:val="center"/>
              <w:rPr>
                <w:rFonts w:ascii="微软雅黑" w:hAnsi="微软雅黑" w:eastAsia="微软雅黑" w:cs="Times New Roman"/>
                <w:b/>
                <w:kern w:val="0"/>
                <w:sz w:val="18"/>
                <w:szCs w:val="18"/>
                <w:lang w:bidi="he-IL"/>
              </w:rPr>
            </w:pPr>
            <w:r>
              <w:rPr>
                <w:rFonts w:hint="eastAsia" w:ascii="微软雅黑" w:hAnsi="微软雅黑" w:eastAsia="微软雅黑" w:cs="Times New Roman"/>
                <w:b/>
                <w:kern w:val="0"/>
                <w:sz w:val="18"/>
                <w:szCs w:val="18"/>
                <w:lang w:bidi="he-IL"/>
              </w:rPr>
              <w:t>序号</w:t>
            </w:r>
          </w:p>
        </w:tc>
        <w:tc>
          <w:tcPr>
            <w:tcW w:w="2901" w:type="dxa"/>
            <w:gridSpan w:val="2"/>
            <w:shd w:val="clear" w:color="auto" w:fill="FFFFFF"/>
            <w:tcMar>
              <w:top w:w="80" w:type="dxa"/>
              <w:left w:w="80" w:type="dxa"/>
              <w:bottom w:w="80" w:type="dxa"/>
              <w:right w:w="80" w:type="dxa"/>
            </w:tcMar>
            <w:vAlign w:val="center"/>
          </w:tcPr>
          <w:p>
            <w:pPr>
              <w:pStyle w:val="21"/>
              <w:widowControl/>
              <w:jc w:val="center"/>
              <w:rPr>
                <w:rFonts w:ascii="微软雅黑" w:hAnsi="微软雅黑" w:eastAsia="微软雅黑"/>
                <w:color w:val="auto"/>
                <w:kern w:val="0"/>
                <w:sz w:val="18"/>
                <w:szCs w:val="18"/>
              </w:rPr>
            </w:pPr>
            <w:r>
              <w:rPr>
                <w:rFonts w:ascii="微软雅黑" w:hAnsi="微软雅黑" w:eastAsia="微软雅黑" w:cs="宋体"/>
                <w:b/>
                <w:bCs/>
                <w:color w:val="auto"/>
                <w:kern w:val="0"/>
                <w:sz w:val="18"/>
                <w:szCs w:val="18"/>
                <w:lang w:val="zh-TW" w:eastAsia="zh-TW"/>
              </w:rPr>
              <w:t>指标项</w:t>
            </w:r>
          </w:p>
        </w:tc>
        <w:tc>
          <w:tcPr>
            <w:tcW w:w="5746" w:type="dxa"/>
            <w:shd w:val="clear" w:color="auto" w:fill="auto"/>
            <w:tcMar>
              <w:top w:w="80" w:type="dxa"/>
              <w:left w:w="80" w:type="dxa"/>
              <w:bottom w:w="80" w:type="dxa"/>
              <w:right w:w="80" w:type="dxa"/>
            </w:tcMar>
            <w:vAlign w:val="center"/>
          </w:tcPr>
          <w:p>
            <w:pPr>
              <w:pStyle w:val="21"/>
              <w:widowControl/>
              <w:jc w:val="center"/>
              <w:rPr>
                <w:rFonts w:ascii="微软雅黑" w:hAnsi="微软雅黑" w:eastAsia="微软雅黑"/>
                <w:color w:val="auto"/>
                <w:kern w:val="0"/>
                <w:sz w:val="18"/>
                <w:szCs w:val="18"/>
              </w:rPr>
            </w:pPr>
            <w:r>
              <w:rPr>
                <w:rFonts w:ascii="微软雅黑" w:hAnsi="微软雅黑" w:eastAsia="微软雅黑" w:cs="宋体"/>
                <w:b/>
                <w:bCs/>
                <w:color w:val="auto"/>
                <w:kern w:val="0"/>
                <w:sz w:val="18"/>
                <w:szCs w:val="18"/>
                <w:lang w:val="zh-TW" w:eastAsia="zh-TW"/>
              </w:rPr>
              <w:t>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77" w:type="dxa"/>
            <w:shd w:val="clear" w:color="auto" w:fill="FFFFFF"/>
            <w:vAlign w:val="center"/>
          </w:tcPr>
          <w:p>
            <w:pPr>
              <w:jc w:val="center"/>
              <w:rPr>
                <w:rFonts w:ascii="微软雅黑" w:hAnsi="微软雅黑" w:eastAsia="微软雅黑" w:cs="宋体"/>
                <w:b/>
                <w:kern w:val="0"/>
                <w:sz w:val="18"/>
                <w:szCs w:val="18"/>
                <w:lang w:val="zh-TW" w:eastAsia="zh-TW" w:bidi="he-IL"/>
              </w:rPr>
            </w:pPr>
            <w:r>
              <w:rPr>
                <w:rFonts w:hint="eastAsia" w:ascii="微软雅黑" w:hAnsi="微软雅黑" w:eastAsia="微软雅黑" w:cs="宋体"/>
                <w:b/>
                <w:kern w:val="0"/>
                <w:sz w:val="18"/>
                <w:szCs w:val="18"/>
                <w:lang w:val="zh-TW" w:bidi="he-IL"/>
              </w:rPr>
              <w:t>1</w:t>
            </w:r>
          </w:p>
        </w:tc>
        <w:tc>
          <w:tcPr>
            <w:tcW w:w="1200" w:type="dxa"/>
            <w:shd w:val="clear" w:color="auto" w:fill="FFFFFF"/>
            <w:tcMar>
              <w:top w:w="80" w:type="dxa"/>
              <w:left w:w="80" w:type="dxa"/>
              <w:bottom w:w="80" w:type="dxa"/>
              <w:right w:w="80" w:type="dxa"/>
            </w:tcMar>
            <w:vAlign w:val="center"/>
          </w:tcPr>
          <w:p>
            <w:pPr>
              <w:jc w:val="center"/>
              <w:rPr>
                <w:rFonts w:ascii="微软雅黑" w:hAnsi="微软雅黑" w:eastAsia="微软雅黑" w:cs="Times New Roman"/>
                <w:kern w:val="0"/>
                <w:sz w:val="18"/>
                <w:szCs w:val="18"/>
                <w:lang w:bidi="he-IL"/>
              </w:rPr>
            </w:pPr>
            <w:r>
              <w:rPr>
                <w:rFonts w:hint="eastAsia" w:ascii="微软雅黑" w:hAnsi="微软雅黑" w:eastAsia="微软雅黑" w:cs="宋体"/>
                <w:kern w:val="0"/>
                <w:sz w:val="18"/>
                <w:szCs w:val="18"/>
                <w:lang w:val="zh-TW" w:eastAsia="zh-TW" w:bidi="he-IL"/>
              </w:rPr>
              <w:t>产品成熟度</w:t>
            </w:r>
          </w:p>
        </w:tc>
        <w:tc>
          <w:tcPr>
            <w:tcW w:w="1701" w:type="dxa"/>
            <w:shd w:val="clear" w:color="auto" w:fill="auto"/>
            <w:tcMar>
              <w:top w:w="80" w:type="dxa"/>
              <w:left w:w="80" w:type="dxa"/>
              <w:bottom w:w="80" w:type="dxa"/>
              <w:right w:w="80" w:type="dxa"/>
            </w:tcMar>
            <w:vAlign w:val="center"/>
          </w:tcPr>
          <w:p>
            <w:pPr>
              <w:pStyle w:val="21"/>
              <w:widowControl/>
              <w:rPr>
                <w:rFonts w:ascii="微软雅黑" w:hAnsi="微软雅黑" w:eastAsia="微软雅黑"/>
                <w:color w:val="auto"/>
                <w:kern w:val="0"/>
                <w:sz w:val="18"/>
                <w:szCs w:val="18"/>
              </w:rPr>
            </w:pPr>
            <w:r>
              <w:rPr>
                <w:rFonts w:hint="eastAsia" w:ascii="微软雅黑" w:hAnsi="微软雅黑" w:eastAsia="微软雅黑"/>
                <w:color w:val="auto"/>
                <w:kern w:val="0"/>
                <w:sz w:val="18"/>
                <w:szCs w:val="18"/>
              </w:rPr>
              <w:t>产品兼容性</w:t>
            </w:r>
          </w:p>
        </w:tc>
        <w:tc>
          <w:tcPr>
            <w:tcW w:w="5746" w:type="dxa"/>
            <w:shd w:val="clear" w:color="auto" w:fill="auto"/>
            <w:tcMar>
              <w:top w:w="80" w:type="dxa"/>
              <w:left w:w="80" w:type="dxa"/>
              <w:bottom w:w="80" w:type="dxa"/>
              <w:right w:w="80" w:type="dxa"/>
            </w:tcMar>
            <w:vAlign w:val="center"/>
          </w:tcPr>
          <w:p>
            <w:pPr>
              <w:pStyle w:val="21"/>
              <w:widowControl/>
              <w:rPr>
                <w:rFonts w:ascii="微软雅黑" w:hAnsi="微软雅黑" w:eastAsia="微软雅黑" w:cs="宋体"/>
                <w:color w:val="auto"/>
                <w:kern w:val="0"/>
                <w:sz w:val="18"/>
                <w:szCs w:val="18"/>
              </w:rPr>
            </w:pPr>
            <w:r>
              <w:rPr>
                <w:rFonts w:hint="eastAsia" w:ascii="微软雅黑" w:hAnsi="微软雅黑" w:eastAsia="微软雅黑" w:cs="宋体"/>
                <w:color w:val="auto"/>
                <w:kern w:val="0"/>
                <w:sz w:val="18"/>
                <w:szCs w:val="18"/>
              </w:rPr>
              <w:t>可以监控现有无线ac和ap的各项指标。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77" w:type="dxa"/>
            <w:vMerge w:val="restart"/>
            <w:shd w:val="clear" w:color="auto" w:fill="FFFFFF"/>
            <w:vAlign w:val="center"/>
          </w:tcPr>
          <w:p>
            <w:pPr>
              <w:pStyle w:val="21"/>
              <w:widowControl/>
              <w:jc w:val="center"/>
              <w:rPr>
                <w:rFonts w:ascii="微软雅黑" w:hAnsi="微软雅黑" w:eastAsia="微软雅黑" w:cs="宋体"/>
                <w:b/>
                <w:color w:val="auto"/>
                <w:kern w:val="0"/>
                <w:sz w:val="18"/>
                <w:szCs w:val="18"/>
                <w:lang w:val="zh-TW" w:eastAsia="zh-TW"/>
              </w:rPr>
            </w:pPr>
            <w:r>
              <w:rPr>
                <w:rFonts w:ascii="微软雅黑" w:hAnsi="微软雅黑" w:eastAsia="微软雅黑" w:cs="宋体"/>
                <w:b/>
                <w:color w:val="auto"/>
                <w:kern w:val="0"/>
                <w:sz w:val="18"/>
                <w:szCs w:val="18"/>
                <w:lang w:val="zh-TW" w:eastAsia="zh-TW"/>
              </w:rPr>
              <w:t>2</w:t>
            </w:r>
          </w:p>
        </w:tc>
        <w:tc>
          <w:tcPr>
            <w:tcW w:w="1200" w:type="dxa"/>
            <w:vMerge w:val="restart"/>
            <w:shd w:val="clear" w:color="auto" w:fill="FFFFFF"/>
            <w:tcMar>
              <w:top w:w="80" w:type="dxa"/>
              <w:left w:w="80" w:type="dxa"/>
              <w:bottom w:w="80" w:type="dxa"/>
              <w:right w:w="80" w:type="dxa"/>
            </w:tcMar>
            <w:vAlign w:val="center"/>
          </w:tcPr>
          <w:p>
            <w:pPr>
              <w:pStyle w:val="21"/>
              <w:widowControl/>
              <w:jc w:val="center"/>
              <w:rPr>
                <w:rFonts w:ascii="微软雅黑" w:hAnsi="微软雅黑" w:eastAsia="微软雅黑" w:cs="宋体"/>
                <w:color w:val="auto"/>
                <w:kern w:val="0"/>
                <w:sz w:val="18"/>
                <w:szCs w:val="18"/>
                <w:lang w:val="zh-TW"/>
              </w:rPr>
            </w:pPr>
            <w:r>
              <w:rPr>
                <w:rFonts w:hint="eastAsia" w:ascii="微软雅黑" w:hAnsi="微软雅黑" w:eastAsia="微软雅黑" w:cs="宋体"/>
                <w:color w:val="auto"/>
                <w:kern w:val="0"/>
                <w:sz w:val="18"/>
                <w:szCs w:val="18"/>
                <w:lang w:val="zh-TW"/>
              </w:rPr>
              <w:t>监控值</w:t>
            </w:r>
          </w:p>
        </w:tc>
        <w:tc>
          <w:tcPr>
            <w:tcW w:w="1701" w:type="dxa"/>
            <w:shd w:val="clear" w:color="auto" w:fill="auto"/>
            <w:tcMar>
              <w:top w:w="80" w:type="dxa"/>
              <w:left w:w="80" w:type="dxa"/>
              <w:bottom w:w="80" w:type="dxa"/>
              <w:right w:w="80" w:type="dxa"/>
            </w:tcMar>
            <w:vAlign w:val="center"/>
          </w:tcPr>
          <w:p>
            <w:pPr>
              <w:pStyle w:val="21"/>
              <w:rPr>
                <w:rFonts w:ascii="微软雅黑" w:hAnsi="微软雅黑" w:eastAsia="PMingLiU" w:cs="宋体"/>
                <w:color w:val="auto"/>
                <w:kern w:val="0"/>
                <w:sz w:val="18"/>
                <w:szCs w:val="18"/>
                <w:lang w:val="zh-TW" w:eastAsia="zh-TW"/>
              </w:rPr>
            </w:pPr>
            <w:r>
              <w:rPr>
                <w:rFonts w:ascii="微软雅黑" w:hAnsi="微软雅黑" w:eastAsia="微软雅黑" w:cs="宋体"/>
                <w:color w:val="auto"/>
                <w:kern w:val="0"/>
                <w:sz w:val="18"/>
                <w:szCs w:val="18"/>
                <w:lang w:val="zh-TW" w:eastAsia="zh-TW"/>
              </w:rPr>
              <w:sym w:font="Wingdings" w:char="F0AB"/>
            </w:r>
            <w:r>
              <w:rPr>
                <w:rFonts w:hint="eastAsia" w:ascii="微软雅黑" w:hAnsi="微软雅黑" w:eastAsia="微软雅黑" w:cs="宋体"/>
                <w:color w:val="auto"/>
                <w:kern w:val="0"/>
                <w:sz w:val="18"/>
                <w:szCs w:val="18"/>
                <w:lang w:val="zh-TW" w:eastAsia="zh-TW"/>
              </w:rPr>
              <w:t>设备性能</w:t>
            </w:r>
          </w:p>
        </w:tc>
        <w:tc>
          <w:tcPr>
            <w:tcW w:w="5746" w:type="dxa"/>
            <w:shd w:val="clear" w:color="auto" w:fill="auto"/>
            <w:tcMar>
              <w:top w:w="80" w:type="dxa"/>
              <w:left w:w="80" w:type="dxa"/>
              <w:bottom w:w="80" w:type="dxa"/>
              <w:right w:w="80" w:type="dxa"/>
            </w:tcMar>
            <w:vAlign w:val="center"/>
          </w:tcPr>
          <w:p>
            <w:pPr>
              <w:pStyle w:val="21"/>
              <w:rPr>
                <w:rFonts w:ascii="微软雅黑" w:hAnsi="微软雅黑" w:eastAsia="微软雅黑" w:cs="宋体"/>
                <w:color w:val="auto"/>
                <w:kern w:val="0"/>
                <w:sz w:val="18"/>
                <w:szCs w:val="18"/>
                <w:lang w:val="zh-TW"/>
              </w:rPr>
            </w:pPr>
            <w:r>
              <w:rPr>
                <w:rFonts w:hint="eastAsia" w:ascii="微软雅黑" w:hAnsi="微软雅黑" w:eastAsia="微软雅黑" w:cs="宋体"/>
                <w:color w:val="auto"/>
                <w:kern w:val="0"/>
                <w:sz w:val="18"/>
                <w:szCs w:val="18"/>
                <w:lang w:val="zh-TW"/>
              </w:rPr>
              <w:t>无线设备的网络带宽占用比、发包数量、连通性、cpu和内存使用率。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77" w:type="dxa"/>
            <w:vMerge w:val="continue"/>
            <w:shd w:val="clear" w:color="auto" w:fill="FFFFFF"/>
            <w:vAlign w:val="center"/>
          </w:tcPr>
          <w:p>
            <w:pPr>
              <w:pStyle w:val="21"/>
              <w:widowControl/>
              <w:jc w:val="center"/>
              <w:rPr>
                <w:rFonts w:ascii="微软雅黑" w:hAnsi="微软雅黑" w:eastAsia="微软雅黑" w:cs="宋体"/>
                <w:b/>
                <w:color w:val="auto"/>
                <w:kern w:val="0"/>
                <w:sz w:val="18"/>
                <w:szCs w:val="18"/>
                <w:lang w:val="zh-TW"/>
              </w:rPr>
            </w:pPr>
          </w:p>
        </w:tc>
        <w:tc>
          <w:tcPr>
            <w:tcW w:w="1200" w:type="dxa"/>
            <w:vMerge w:val="continue"/>
            <w:shd w:val="clear" w:color="auto" w:fill="FFFFFF"/>
            <w:tcMar>
              <w:top w:w="80" w:type="dxa"/>
              <w:left w:w="80" w:type="dxa"/>
              <w:bottom w:w="80" w:type="dxa"/>
              <w:right w:w="80" w:type="dxa"/>
            </w:tcMar>
            <w:vAlign w:val="center"/>
          </w:tcPr>
          <w:p>
            <w:pPr>
              <w:pStyle w:val="21"/>
              <w:widowControl/>
              <w:jc w:val="center"/>
              <w:rPr>
                <w:rFonts w:ascii="微软雅黑" w:hAnsi="微软雅黑" w:eastAsia="微软雅黑" w:cs="宋体"/>
                <w:color w:val="auto"/>
                <w:kern w:val="0"/>
                <w:sz w:val="18"/>
                <w:szCs w:val="18"/>
                <w:lang w:val="zh-TW"/>
              </w:rPr>
            </w:pPr>
          </w:p>
        </w:tc>
        <w:tc>
          <w:tcPr>
            <w:tcW w:w="1701" w:type="dxa"/>
            <w:shd w:val="clear" w:color="auto" w:fill="auto"/>
            <w:tcMar>
              <w:top w:w="80" w:type="dxa"/>
              <w:left w:w="80" w:type="dxa"/>
              <w:bottom w:w="80" w:type="dxa"/>
              <w:right w:w="80" w:type="dxa"/>
            </w:tcMar>
            <w:vAlign w:val="center"/>
          </w:tcPr>
          <w:p>
            <w:pPr>
              <w:pStyle w:val="21"/>
              <w:rPr>
                <w:rFonts w:ascii="微软雅黑" w:hAnsi="微软雅黑" w:eastAsia="微软雅黑" w:cs="宋体"/>
                <w:color w:val="auto"/>
                <w:kern w:val="0"/>
                <w:sz w:val="18"/>
                <w:szCs w:val="18"/>
                <w:lang w:val="zh-TW"/>
              </w:rPr>
            </w:pPr>
            <w:r>
              <w:rPr>
                <w:rFonts w:ascii="微软雅黑" w:hAnsi="微软雅黑" w:eastAsia="微软雅黑" w:cs="宋体"/>
                <w:color w:val="auto"/>
                <w:kern w:val="0"/>
                <w:sz w:val="18"/>
                <w:szCs w:val="18"/>
                <w:lang w:val="zh-TW" w:eastAsia="zh-TW"/>
              </w:rPr>
              <w:sym w:font="Wingdings" w:char="F0AB"/>
            </w:r>
            <w:r>
              <w:rPr>
                <w:rFonts w:hint="eastAsia" w:ascii="微软雅黑" w:hAnsi="微软雅黑" w:eastAsia="微软雅黑" w:cs="宋体"/>
                <w:color w:val="auto"/>
                <w:kern w:val="0"/>
                <w:sz w:val="18"/>
                <w:szCs w:val="18"/>
                <w:lang w:val="zh-TW" w:eastAsia="zh-TW"/>
              </w:rPr>
              <w:t>在线用户数</w:t>
            </w:r>
          </w:p>
        </w:tc>
        <w:tc>
          <w:tcPr>
            <w:tcW w:w="5746" w:type="dxa"/>
            <w:shd w:val="clear" w:color="auto" w:fill="auto"/>
            <w:tcMar>
              <w:top w:w="80" w:type="dxa"/>
              <w:left w:w="80" w:type="dxa"/>
              <w:bottom w:w="80" w:type="dxa"/>
              <w:right w:w="80" w:type="dxa"/>
            </w:tcMar>
            <w:vAlign w:val="center"/>
          </w:tcPr>
          <w:p>
            <w:pPr>
              <w:pStyle w:val="21"/>
              <w:rPr>
                <w:rFonts w:ascii="微软雅黑" w:hAnsi="微软雅黑" w:eastAsia="微软雅黑" w:cs="宋体"/>
                <w:color w:val="auto"/>
                <w:kern w:val="0"/>
                <w:sz w:val="18"/>
                <w:szCs w:val="18"/>
                <w:lang w:val="zh-TW"/>
              </w:rPr>
            </w:pPr>
            <w:r>
              <w:rPr>
                <w:rFonts w:hint="eastAsia" w:ascii="微软雅黑" w:hAnsi="微软雅黑" w:eastAsia="微软雅黑" w:cs="宋体"/>
                <w:color w:val="auto"/>
                <w:kern w:val="0"/>
                <w:sz w:val="18"/>
                <w:szCs w:val="18"/>
                <w:lang w:val="zh-TW"/>
              </w:rPr>
              <w:t>监控所有ap的在线用户数和认证类型。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77" w:type="dxa"/>
            <w:vMerge w:val="continue"/>
            <w:shd w:val="clear" w:color="auto" w:fill="FFFFFF"/>
            <w:vAlign w:val="center"/>
          </w:tcPr>
          <w:p>
            <w:pPr>
              <w:pStyle w:val="21"/>
              <w:widowControl/>
              <w:jc w:val="center"/>
              <w:rPr>
                <w:rFonts w:ascii="微软雅黑" w:hAnsi="微软雅黑" w:eastAsia="微软雅黑" w:cs="宋体"/>
                <w:b/>
                <w:color w:val="auto"/>
                <w:kern w:val="0"/>
                <w:sz w:val="18"/>
                <w:szCs w:val="18"/>
                <w:lang w:val="zh-TW"/>
              </w:rPr>
            </w:pPr>
          </w:p>
        </w:tc>
        <w:tc>
          <w:tcPr>
            <w:tcW w:w="1200" w:type="dxa"/>
            <w:vMerge w:val="continue"/>
            <w:shd w:val="clear" w:color="auto" w:fill="FFFFFF"/>
            <w:tcMar>
              <w:top w:w="80" w:type="dxa"/>
              <w:left w:w="80" w:type="dxa"/>
              <w:bottom w:w="80" w:type="dxa"/>
              <w:right w:w="80" w:type="dxa"/>
            </w:tcMar>
            <w:vAlign w:val="center"/>
          </w:tcPr>
          <w:p>
            <w:pPr>
              <w:pStyle w:val="21"/>
              <w:widowControl/>
              <w:jc w:val="center"/>
              <w:rPr>
                <w:rFonts w:ascii="微软雅黑" w:hAnsi="微软雅黑" w:eastAsia="微软雅黑" w:cs="宋体"/>
                <w:color w:val="auto"/>
                <w:kern w:val="0"/>
                <w:sz w:val="18"/>
                <w:szCs w:val="18"/>
                <w:lang w:val="zh-TW"/>
              </w:rPr>
            </w:pPr>
          </w:p>
        </w:tc>
        <w:tc>
          <w:tcPr>
            <w:tcW w:w="1701" w:type="dxa"/>
            <w:shd w:val="clear" w:color="auto" w:fill="auto"/>
            <w:tcMar>
              <w:top w:w="80" w:type="dxa"/>
              <w:left w:w="80" w:type="dxa"/>
              <w:bottom w:w="80" w:type="dxa"/>
              <w:right w:w="80" w:type="dxa"/>
            </w:tcMar>
            <w:vAlign w:val="center"/>
          </w:tcPr>
          <w:p>
            <w:pPr>
              <w:pStyle w:val="21"/>
              <w:rPr>
                <w:rFonts w:ascii="微软雅黑" w:hAnsi="微软雅黑" w:eastAsia="微软雅黑" w:cs="宋体"/>
                <w:color w:val="auto"/>
                <w:kern w:val="0"/>
                <w:sz w:val="18"/>
                <w:szCs w:val="18"/>
                <w:lang w:val="zh-TW" w:eastAsia="zh-TW"/>
              </w:rPr>
            </w:pPr>
            <w:r>
              <w:rPr>
                <w:rFonts w:ascii="微软雅黑" w:hAnsi="微软雅黑" w:eastAsia="微软雅黑" w:cs="宋体"/>
                <w:color w:val="auto"/>
                <w:kern w:val="0"/>
                <w:sz w:val="18"/>
                <w:szCs w:val="18"/>
                <w:lang w:val="zh-TW" w:eastAsia="zh-TW"/>
              </w:rPr>
              <w:sym w:font="Wingdings" w:char="F0AB"/>
            </w:r>
            <w:r>
              <w:rPr>
                <w:rFonts w:hint="eastAsia" w:ascii="微软雅黑" w:hAnsi="微软雅黑" w:eastAsia="微软雅黑" w:cs="宋体"/>
                <w:color w:val="auto"/>
                <w:kern w:val="0"/>
                <w:sz w:val="18"/>
                <w:szCs w:val="18"/>
                <w:lang w:val="zh-TW" w:eastAsia="zh-TW"/>
              </w:rPr>
              <w:t>AP状态</w:t>
            </w:r>
          </w:p>
        </w:tc>
        <w:tc>
          <w:tcPr>
            <w:tcW w:w="5746" w:type="dxa"/>
            <w:shd w:val="clear" w:color="auto" w:fill="auto"/>
            <w:tcMar>
              <w:top w:w="80" w:type="dxa"/>
              <w:left w:w="80" w:type="dxa"/>
              <w:bottom w:w="80" w:type="dxa"/>
              <w:right w:w="80" w:type="dxa"/>
            </w:tcMar>
            <w:vAlign w:val="center"/>
          </w:tcPr>
          <w:p>
            <w:pPr>
              <w:rPr>
                <w:rFonts w:ascii="微软雅黑" w:hAnsi="微软雅黑" w:eastAsia="微软雅黑" w:cs="宋体"/>
                <w:kern w:val="0"/>
                <w:sz w:val="18"/>
                <w:szCs w:val="18"/>
                <w:lang w:val="zh-TW" w:bidi="he-IL"/>
              </w:rPr>
            </w:pPr>
            <w:r>
              <w:rPr>
                <w:rFonts w:hint="eastAsia" w:ascii="微软雅黑" w:hAnsi="微软雅黑" w:eastAsia="微软雅黑" w:cs="宋体"/>
                <w:kern w:val="0"/>
                <w:sz w:val="18"/>
                <w:szCs w:val="18"/>
                <w:lang w:val="zh-TW" w:bidi="he-IL"/>
              </w:rPr>
              <w:t>统计AP离线时间和数量，</w:t>
            </w:r>
            <w:r>
              <w:rPr>
                <w:rFonts w:ascii="微软雅黑" w:hAnsi="微软雅黑" w:eastAsia="微软雅黑" w:cs="宋体"/>
                <w:kern w:val="0"/>
                <w:sz w:val="18"/>
                <w:szCs w:val="18"/>
                <w:lang w:val="zh-TW" w:bidi="he-IL"/>
              </w:rPr>
              <w:t>AP发现， AP在线时间监控，AP断线报警</w:t>
            </w:r>
            <w:r>
              <w:rPr>
                <w:rFonts w:hint="eastAsia" w:ascii="微软雅黑" w:hAnsi="微软雅黑" w:eastAsia="微软雅黑" w:cs="宋体"/>
                <w:kern w:val="0"/>
                <w:sz w:val="18"/>
                <w:szCs w:val="18"/>
                <w:lang w:val="zh-TW" w:bidi="he-I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77" w:type="dxa"/>
            <w:vMerge w:val="continue"/>
            <w:shd w:val="clear" w:color="auto" w:fill="FFFFFF"/>
            <w:vAlign w:val="center"/>
          </w:tcPr>
          <w:p>
            <w:pPr>
              <w:pStyle w:val="21"/>
              <w:widowControl/>
              <w:jc w:val="center"/>
              <w:rPr>
                <w:rFonts w:ascii="微软雅黑" w:hAnsi="微软雅黑" w:eastAsia="微软雅黑" w:cs="宋体"/>
                <w:b/>
                <w:color w:val="auto"/>
                <w:kern w:val="0"/>
                <w:sz w:val="18"/>
                <w:szCs w:val="18"/>
                <w:lang w:val="zh-TW"/>
              </w:rPr>
            </w:pPr>
          </w:p>
        </w:tc>
        <w:tc>
          <w:tcPr>
            <w:tcW w:w="1200" w:type="dxa"/>
            <w:vMerge w:val="continue"/>
            <w:shd w:val="clear" w:color="auto" w:fill="FFFFFF"/>
            <w:tcMar>
              <w:top w:w="80" w:type="dxa"/>
              <w:left w:w="80" w:type="dxa"/>
              <w:bottom w:w="80" w:type="dxa"/>
              <w:right w:w="80" w:type="dxa"/>
            </w:tcMar>
            <w:vAlign w:val="center"/>
          </w:tcPr>
          <w:p>
            <w:pPr>
              <w:pStyle w:val="21"/>
              <w:widowControl/>
              <w:jc w:val="center"/>
              <w:rPr>
                <w:rFonts w:ascii="微软雅黑" w:hAnsi="微软雅黑" w:eastAsia="微软雅黑" w:cs="宋体"/>
                <w:color w:val="auto"/>
                <w:kern w:val="0"/>
                <w:sz w:val="18"/>
                <w:szCs w:val="18"/>
                <w:lang w:val="zh-TW"/>
              </w:rPr>
            </w:pPr>
          </w:p>
        </w:tc>
        <w:tc>
          <w:tcPr>
            <w:tcW w:w="1701" w:type="dxa"/>
            <w:shd w:val="clear" w:color="auto" w:fill="auto"/>
            <w:tcMar>
              <w:top w:w="80" w:type="dxa"/>
              <w:left w:w="80" w:type="dxa"/>
              <w:bottom w:w="80" w:type="dxa"/>
              <w:right w:w="80" w:type="dxa"/>
            </w:tcMar>
            <w:vAlign w:val="center"/>
          </w:tcPr>
          <w:p>
            <w:pPr>
              <w:pStyle w:val="21"/>
              <w:rPr>
                <w:rFonts w:ascii="微软雅黑" w:hAnsi="微软雅黑" w:eastAsia="PMingLiU" w:cs="宋体"/>
                <w:color w:val="auto"/>
                <w:kern w:val="0"/>
                <w:sz w:val="18"/>
                <w:szCs w:val="18"/>
                <w:lang w:val="zh-TW" w:eastAsia="zh-TW"/>
              </w:rPr>
            </w:pPr>
            <w:r>
              <w:rPr>
                <w:rFonts w:ascii="微软雅黑" w:hAnsi="微软雅黑" w:eastAsia="微软雅黑" w:cs="宋体"/>
                <w:color w:val="auto"/>
                <w:kern w:val="0"/>
                <w:sz w:val="18"/>
                <w:szCs w:val="18"/>
                <w:lang w:val="zh-TW" w:eastAsia="zh-TW"/>
              </w:rPr>
              <w:sym w:font="Wingdings" w:char="F0AB"/>
            </w:r>
            <w:r>
              <w:rPr>
                <w:rFonts w:hint="eastAsia" w:ascii="微软雅黑" w:hAnsi="微软雅黑" w:eastAsia="微软雅黑" w:cs="宋体"/>
                <w:color w:val="auto"/>
                <w:kern w:val="0"/>
                <w:sz w:val="18"/>
                <w:szCs w:val="18"/>
                <w:lang w:val="zh-TW" w:eastAsia="zh-TW"/>
              </w:rPr>
              <w:t>告警通知</w:t>
            </w:r>
          </w:p>
        </w:tc>
        <w:tc>
          <w:tcPr>
            <w:tcW w:w="5746" w:type="dxa"/>
            <w:shd w:val="clear" w:color="auto" w:fill="auto"/>
            <w:tcMar>
              <w:top w:w="80" w:type="dxa"/>
              <w:left w:w="80" w:type="dxa"/>
              <w:bottom w:w="80" w:type="dxa"/>
              <w:right w:w="80" w:type="dxa"/>
            </w:tcMar>
            <w:vAlign w:val="center"/>
          </w:tcPr>
          <w:p>
            <w:pPr>
              <w:pStyle w:val="21"/>
              <w:rPr>
                <w:rFonts w:ascii="微软雅黑" w:hAnsi="微软雅黑" w:eastAsia="微软雅黑" w:cs="宋体"/>
                <w:color w:val="auto"/>
                <w:kern w:val="0"/>
                <w:sz w:val="18"/>
                <w:szCs w:val="18"/>
                <w:lang w:val="zh-TW"/>
              </w:rPr>
            </w:pPr>
            <w:r>
              <w:rPr>
                <w:rFonts w:hint="eastAsia" w:ascii="微软雅黑" w:hAnsi="微软雅黑" w:eastAsia="微软雅黑" w:cs="宋体"/>
                <w:color w:val="auto"/>
                <w:kern w:val="0"/>
                <w:sz w:val="18"/>
                <w:szCs w:val="18"/>
                <w:lang w:val="zh-TW"/>
              </w:rPr>
              <w:t>通过邮件或者系统本身进行告警通知。</w:t>
            </w:r>
          </w:p>
        </w:tc>
      </w:tr>
    </w:tbl>
    <w:p>
      <w:pPr>
        <w:adjustRightInd w:val="0"/>
        <w:snapToGrid w:val="0"/>
        <w:spacing w:line="360" w:lineRule="auto"/>
        <w:rPr>
          <w:rFonts w:hAnsi="宋体" w:cs="宋体"/>
          <w:bCs/>
          <w:sz w:val="24"/>
          <w:szCs w:val="24"/>
        </w:rPr>
      </w:pPr>
    </w:p>
    <w:p>
      <w:pPr>
        <w:adjustRightInd w:val="0"/>
        <w:snapToGrid w:val="0"/>
        <w:spacing w:line="360" w:lineRule="auto"/>
        <w:ind w:firstLine="480" w:firstLineChars="200"/>
        <w:rPr>
          <w:rFonts w:hAnsi="宋体" w:cs="宋体"/>
          <w:bCs/>
          <w:sz w:val="24"/>
          <w:szCs w:val="24"/>
        </w:rPr>
      </w:pPr>
      <w:r>
        <w:rPr>
          <w:rFonts w:hAnsi="宋体" w:cs="宋体"/>
          <w:bCs/>
          <w:sz w:val="24"/>
          <w:szCs w:val="24"/>
        </w:rPr>
        <w:t>4、合作方式：本项目采用运维服务方式进行，供应商负责设备的采购安装调试以及维保，医院按照运维服务方式向供应商支付服务款项，在合同签订之日</w:t>
      </w:r>
      <w:r>
        <w:rPr>
          <w:rFonts w:hint="eastAsia" w:hAnsi="宋体" w:cs="宋体"/>
          <w:bCs/>
          <w:sz w:val="24"/>
          <w:szCs w:val="24"/>
        </w:rPr>
        <w:t>起的</w:t>
      </w:r>
      <w:r>
        <w:rPr>
          <w:rFonts w:hAnsi="宋体" w:cs="宋体"/>
          <w:bCs/>
          <w:sz w:val="24"/>
          <w:szCs w:val="24"/>
        </w:rPr>
        <w:t>30个工作日</w:t>
      </w:r>
      <w:r>
        <w:rPr>
          <w:rFonts w:hint="eastAsia" w:hAnsi="宋体" w:cs="宋体"/>
          <w:bCs/>
          <w:sz w:val="24"/>
          <w:szCs w:val="24"/>
        </w:rPr>
        <w:t>内完成项目施工和优化</w:t>
      </w:r>
      <w:r>
        <w:rPr>
          <w:rFonts w:hAnsi="宋体" w:cs="宋体"/>
          <w:bCs/>
          <w:sz w:val="24"/>
          <w:szCs w:val="24"/>
        </w:rPr>
        <w:t>，</w:t>
      </w:r>
      <w:r>
        <w:rPr>
          <w:rFonts w:hint="eastAsia" w:hAnsi="宋体" w:cs="宋体"/>
          <w:bCs/>
          <w:sz w:val="24"/>
          <w:szCs w:val="24"/>
        </w:rPr>
        <w:t>通过项目验收合格后</w:t>
      </w:r>
      <w:r>
        <w:rPr>
          <w:rFonts w:hAnsi="宋体" w:cs="宋体"/>
          <w:bCs/>
          <w:sz w:val="24"/>
          <w:szCs w:val="24"/>
        </w:rPr>
        <w:t>30</w:t>
      </w:r>
      <w:r>
        <w:rPr>
          <w:rFonts w:hint="eastAsia" w:hAnsi="宋体" w:cs="宋体"/>
          <w:bCs/>
          <w:sz w:val="24"/>
          <w:szCs w:val="24"/>
        </w:rPr>
        <w:t>个工作日内</w:t>
      </w:r>
      <w:r>
        <w:rPr>
          <w:rFonts w:hAnsi="宋体" w:cs="宋体"/>
          <w:bCs/>
          <w:sz w:val="24"/>
          <w:szCs w:val="24"/>
        </w:rPr>
        <w:t>支付中标供应商80</w:t>
      </w:r>
      <w:r>
        <w:rPr>
          <w:rFonts w:hint="eastAsia" w:hAnsi="宋体" w:cs="宋体"/>
          <w:bCs/>
          <w:sz w:val="24"/>
          <w:szCs w:val="24"/>
        </w:rPr>
        <w:t>%</w:t>
      </w:r>
      <w:r>
        <w:rPr>
          <w:rFonts w:hAnsi="宋体" w:cs="宋体"/>
          <w:bCs/>
          <w:sz w:val="24"/>
          <w:szCs w:val="24"/>
        </w:rPr>
        <w:t>无线网络运维服务费，</w:t>
      </w:r>
      <w:r>
        <w:rPr>
          <w:rFonts w:hint="eastAsia" w:hAnsi="宋体" w:cs="宋体"/>
          <w:bCs/>
          <w:sz w:val="24"/>
          <w:szCs w:val="24"/>
        </w:rPr>
        <w:t>验收合格后第二年支付</w:t>
      </w:r>
      <w:r>
        <w:rPr>
          <w:rFonts w:hAnsi="宋体" w:cs="宋体"/>
          <w:bCs/>
          <w:sz w:val="24"/>
          <w:szCs w:val="24"/>
        </w:rPr>
        <w:t>20</w:t>
      </w:r>
      <w:r>
        <w:rPr>
          <w:rFonts w:hint="eastAsia" w:hAnsi="宋体" w:cs="宋体"/>
          <w:bCs/>
          <w:sz w:val="24"/>
          <w:szCs w:val="24"/>
        </w:rPr>
        <w:t>%</w:t>
      </w:r>
      <w:r>
        <w:rPr>
          <w:rFonts w:hAnsi="宋体" w:cs="宋体"/>
          <w:bCs/>
          <w:sz w:val="24"/>
          <w:szCs w:val="24"/>
        </w:rPr>
        <w:t>无线网络运维服务费</w:t>
      </w:r>
      <w:r>
        <w:rPr>
          <w:rFonts w:hint="eastAsia" w:hAnsi="宋体" w:cs="宋体"/>
          <w:bCs/>
          <w:sz w:val="24"/>
          <w:szCs w:val="24"/>
        </w:rPr>
        <w:t>，合同</w:t>
      </w:r>
      <w:r>
        <w:rPr>
          <w:rFonts w:hAnsi="宋体" w:cs="宋体"/>
          <w:bCs/>
          <w:sz w:val="24"/>
          <w:szCs w:val="24"/>
        </w:rPr>
        <w:t>有效期为1年。超过上述无线覆盖约定范围的，双方协商解决。</w:t>
      </w:r>
    </w:p>
    <w:p>
      <w:pPr>
        <w:pStyle w:val="3"/>
        <w:jc w:val="center"/>
        <w:rPr>
          <w:rFonts w:cs="仿宋"/>
        </w:rPr>
      </w:pPr>
      <w:r>
        <w:rPr>
          <w:rFonts w:hint="eastAsia" w:cs="仿宋"/>
        </w:rPr>
        <w:br w:type="page"/>
      </w:r>
      <w:bookmarkStart w:id="65" w:name="_Toc28751"/>
      <w:bookmarkStart w:id="66" w:name="_Toc96351087"/>
      <w:r>
        <w:rPr>
          <w:rFonts w:hint="eastAsia" w:cs="仿宋"/>
        </w:rPr>
        <w:t>第四章  评审办法</w:t>
      </w:r>
      <w:bookmarkEnd w:id="65"/>
      <w:bookmarkEnd w:id="66"/>
    </w:p>
    <w:p>
      <w:pPr>
        <w:ind w:firstLine="482"/>
        <w:rPr>
          <w:b/>
        </w:rPr>
      </w:pPr>
      <w:r>
        <w:rPr>
          <w:rFonts w:hint="eastAsia"/>
          <w:b/>
        </w:rPr>
        <w:t>一、资格性和符合性审查表</w:t>
      </w:r>
    </w:p>
    <w:tbl>
      <w:tblPr>
        <w:tblStyle w:val="11"/>
        <w:tblW w:w="8281" w:type="dxa"/>
        <w:jc w:val="center"/>
        <w:tblLayout w:type="fixed"/>
        <w:tblCellMar>
          <w:top w:w="57" w:type="dxa"/>
          <w:left w:w="108" w:type="dxa"/>
          <w:bottom w:w="57" w:type="dxa"/>
          <w:right w:w="108" w:type="dxa"/>
        </w:tblCellMar>
      </w:tblPr>
      <w:tblGrid>
        <w:gridCol w:w="697"/>
        <w:gridCol w:w="5954"/>
        <w:gridCol w:w="1630"/>
      </w:tblGrid>
      <w:tr>
        <w:tblPrEx>
          <w:tblCellMar>
            <w:top w:w="57" w:type="dxa"/>
            <w:left w:w="108" w:type="dxa"/>
            <w:bottom w:w="57" w:type="dxa"/>
            <w:right w:w="108" w:type="dxa"/>
          </w:tblCellMar>
        </w:tblPrEx>
        <w:trPr>
          <w:trHeight w:val="633"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pStyle w:val="17"/>
              <w:spacing w:line="276" w:lineRule="auto"/>
              <w:jc w:val="center"/>
              <w:rPr>
                <w:b/>
              </w:rPr>
            </w:pPr>
            <w:r>
              <w:rPr>
                <w:rFonts w:hint="eastAsia"/>
                <w:b/>
              </w:rPr>
              <w:t>序号</w:t>
            </w:r>
          </w:p>
        </w:tc>
        <w:tc>
          <w:tcPr>
            <w:tcW w:w="5954" w:type="dxa"/>
            <w:tcBorders>
              <w:top w:val="single" w:color="auto" w:sz="4" w:space="0"/>
              <w:left w:val="single" w:color="auto" w:sz="4" w:space="0"/>
              <w:bottom w:val="single" w:color="auto" w:sz="4" w:space="0"/>
              <w:right w:val="single" w:color="auto" w:sz="4" w:space="0"/>
            </w:tcBorders>
            <w:vAlign w:val="center"/>
          </w:tcPr>
          <w:p>
            <w:pPr>
              <w:pStyle w:val="17"/>
              <w:spacing w:line="276" w:lineRule="auto"/>
              <w:jc w:val="center"/>
            </w:pPr>
            <w:r>
              <w:rPr>
                <w:rFonts w:hint="eastAsia"/>
                <w:b/>
              </w:rPr>
              <w:t>资格性审查内容</w:t>
            </w:r>
          </w:p>
        </w:tc>
        <w:tc>
          <w:tcPr>
            <w:tcW w:w="1630" w:type="dxa"/>
            <w:tcBorders>
              <w:top w:val="single" w:color="auto" w:sz="4" w:space="0"/>
              <w:left w:val="nil"/>
              <w:bottom w:val="single" w:color="auto" w:sz="4" w:space="0"/>
              <w:right w:val="single" w:color="auto" w:sz="4" w:space="0"/>
            </w:tcBorders>
            <w:vAlign w:val="center"/>
          </w:tcPr>
          <w:p>
            <w:pPr>
              <w:pStyle w:val="17"/>
              <w:spacing w:line="276" w:lineRule="auto"/>
              <w:jc w:val="center"/>
              <w:rPr>
                <w:b/>
              </w:rPr>
            </w:pPr>
            <w:r>
              <w:rPr>
                <w:rFonts w:hint="eastAsia"/>
                <w:b/>
              </w:rPr>
              <w:t>供应商名称</w:t>
            </w:r>
          </w:p>
        </w:tc>
      </w:tr>
      <w:tr>
        <w:tblPrEx>
          <w:tblCellMar>
            <w:top w:w="57" w:type="dxa"/>
            <w:left w:w="108" w:type="dxa"/>
            <w:bottom w:w="57" w:type="dxa"/>
            <w:right w:w="108" w:type="dxa"/>
          </w:tblCellMar>
        </w:tblPrEx>
        <w:trPr>
          <w:trHeight w:val="34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pPr>
            <w:r>
              <w:rPr>
                <w:rFonts w:hint="eastAsia"/>
              </w:rPr>
              <w:t>1</w:t>
            </w:r>
          </w:p>
        </w:tc>
        <w:tc>
          <w:tcPr>
            <w:tcW w:w="5954" w:type="dxa"/>
            <w:tcBorders>
              <w:top w:val="single" w:color="auto" w:sz="4" w:space="0"/>
              <w:left w:val="single" w:color="auto" w:sz="4" w:space="0"/>
              <w:bottom w:val="single" w:color="auto" w:sz="4" w:space="0"/>
              <w:right w:val="single" w:color="auto" w:sz="4" w:space="0"/>
            </w:tcBorders>
          </w:tcPr>
          <w:p>
            <w:pPr>
              <w:pStyle w:val="18"/>
              <w:spacing w:line="276" w:lineRule="auto"/>
            </w:pPr>
            <w:r>
              <w:rPr>
                <w:rFonts w:hint="eastAsia"/>
              </w:rPr>
              <w:t>（1）具有独立承担民事责任的能力；</w:t>
            </w:r>
          </w:p>
          <w:p>
            <w:pPr>
              <w:pStyle w:val="18"/>
              <w:spacing w:line="276" w:lineRule="auto"/>
            </w:pPr>
            <w:r>
              <w:rPr>
                <w:rFonts w:hint="eastAsia"/>
              </w:rPr>
              <w:t>（2）具有良好的商业信誉和健全的财务会计制度；</w:t>
            </w:r>
          </w:p>
          <w:p>
            <w:pPr>
              <w:pStyle w:val="18"/>
              <w:spacing w:line="276" w:lineRule="auto"/>
            </w:pPr>
            <w:r>
              <w:rPr>
                <w:rFonts w:hint="eastAsia"/>
              </w:rPr>
              <w:t>（3）具有履行合同所必需的设备和专业技术能力；</w:t>
            </w:r>
          </w:p>
          <w:p>
            <w:pPr>
              <w:pStyle w:val="18"/>
              <w:spacing w:line="276" w:lineRule="auto"/>
            </w:pPr>
            <w:r>
              <w:rPr>
                <w:rFonts w:hint="eastAsia"/>
              </w:rPr>
              <w:t>（4）有依法缴纳税收和社会保障资金的良好记录；</w:t>
            </w:r>
          </w:p>
          <w:p>
            <w:pPr>
              <w:pStyle w:val="18"/>
              <w:spacing w:line="276" w:lineRule="auto"/>
            </w:pPr>
            <w:r>
              <w:rPr>
                <w:rFonts w:hint="eastAsia"/>
              </w:rPr>
              <w:t>（5）参加政府采购活动前三年内，在经营活动中没有重大违法记录；</w:t>
            </w:r>
          </w:p>
          <w:p>
            <w:pPr>
              <w:pStyle w:val="18"/>
              <w:spacing w:line="276" w:lineRule="auto"/>
            </w:pPr>
            <w:r>
              <w:rPr>
                <w:rFonts w:hint="eastAsia"/>
              </w:rPr>
              <w:t>（6）法律、行政法规规定的其他条件。</w:t>
            </w:r>
          </w:p>
          <w:p>
            <w:pPr>
              <w:pStyle w:val="18"/>
              <w:spacing w:line="276" w:lineRule="auto"/>
              <w:rPr>
                <w:b/>
              </w:rPr>
            </w:pPr>
            <w:r>
              <w:rPr>
                <w:rFonts w:hint="eastAsia"/>
                <w:b/>
              </w:rPr>
              <w:t>（其中第（1）款提供有效的法人营业执照、税务登记证、组织机构代码证（或三证合一）；（2）至（6）款提供相关证明或承诺）</w:t>
            </w:r>
          </w:p>
        </w:tc>
        <w:tc>
          <w:tcPr>
            <w:tcW w:w="1630" w:type="dxa"/>
            <w:tcBorders>
              <w:top w:val="single" w:color="auto" w:sz="4" w:space="0"/>
              <w:left w:val="nil"/>
              <w:bottom w:val="single" w:color="auto" w:sz="4" w:space="0"/>
              <w:right w:val="single" w:color="auto" w:sz="4" w:space="0"/>
            </w:tcBorders>
            <w:vAlign w:val="center"/>
          </w:tcPr>
          <w:p>
            <w:pPr>
              <w:pStyle w:val="17"/>
              <w:spacing w:line="276" w:lineRule="auto"/>
            </w:pPr>
          </w:p>
        </w:tc>
      </w:tr>
      <w:tr>
        <w:tblPrEx>
          <w:tblCellMar>
            <w:top w:w="57" w:type="dxa"/>
            <w:left w:w="108" w:type="dxa"/>
            <w:bottom w:w="57" w:type="dxa"/>
            <w:right w:w="108" w:type="dxa"/>
          </w:tblCellMar>
        </w:tblPrEx>
        <w:trPr>
          <w:trHeight w:val="34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pPr>
            <w:r>
              <w:rPr>
                <w:rFonts w:hint="eastAsia"/>
              </w:rPr>
              <w:t>2</w:t>
            </w:r>
          </w:p>
        </w:tc>
        <w:tc>
          <w:tcPr>
            <w:tcW w:w="5954" w:type="dxa"/>
            <w:tcBorders>
              <w:top w:val="single" w:color="auto" w:sz="4" w:space="0"/>
              <w:left w:val="single" w:color="auto" w:sz="4" w:space="0"/>
              <w:bottom w:val="single" w:color="auto" w:sz="4" w:space="0"/>
              <w:right w:val="single" w:color="auto" w:sz="4" w:space="0"/>
            </w:tcBorders>
          </w:tcPr>
          <w:p>
            <w:pPr>
              <w:pStyle w:val="18"/>
              <w:spacing w:line="276" w:lineRule="auto"/>
            </w:pPr>
            <w:r>
              <w:rPr>
                <w:rFonts w:hint="eastAsia"/>
              </w:rPr>
              <w:t>未被列入失信被执行人、重大税收违法案件当事人、政府采购严重违法失信行为记录名单。</w:t>
            </w:r>
          </w:p>
          <w:p>
            <w:pPr>
              <w:pStyle w:val="18"/>
              <w:spacing w:line="276" w:lineRule="auto"/>
            </w:pPr>
            <w:r>
              <w:rPr>
                <w:rFonts w:hint="eastAsia"/>
                <w:b/>
              </w:rPr>
              <w:t>（提供承诺或查询截图。</w:t>
            </w:r>
            <w:r>
              <w:rPr>
                <w:rFonts w:hint="eastAsia"/>
              </w:rPr>
              <w:t>谈判小组以谈判当天查询结果为准，查询网站：《中国执行信息公开网》网站（zxgk.court.gov.cn）上的失信被执行人、《信用中国》网站(www.creditchina.gov.cn) 重大税收违法案件当事人、《中国政府采购网》（www.ccgp.gov.cn）政府采购严重违法失信行为记录</w:t>
            </w:r>
            <w:r>
              <w:rPr>
                <w:rFonts w:hint="eastAsia"/>
                <w:b/>
              </w:rPr>
              <w:t>）</w:t>
            </w:r>
          </w:p>
        </w:tc>
        <w:tc>
          <w:tcPr>
            <w:tcW w:w="1630" w:type="dxa"/>
            <w:tcBorders>
              <w:top w:val="single" w:color="auto" w:sz="4" w:space="0"/>
              <w:left w:val="nil"/>
              <w:bottom w:val="single" w:color="auto" w:sz="4" w:space="0"/>
              <w:right w:val="single" w:color="auto" w:sz="4" w:space="0"/>
            </w:tcBorders>
            <w:vAlign w:val="center"/>
          </w:tcPr>
          <w:p>
            <w:pPr>
              <w:pStyle w:val="17"/>
              <w:spacing w:line="276" w:lineRule="auto"/>
            </w:pPr>
          </w:p>
        </w:tc>
      </w:tr>
      <w:tr>
        <w:tblPrEx>
          <w:tblCellMar>
            <w:top w:w="57" w:type="dxa"/>
            <w:left w:w="108" w:type="dxa"/>
            <w:bottom w:w="57" w:type="dxa"/>
            <w:right w:w="108" w:type="dxa"/>
          </w:tblCellMar>
        </w:tblPrEx>
        <w:trPr>
          <w:trHeight w:val="34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b/>
              </w:rPr>
            </w:pPr>
            <w:r>
              <w:rPr>
                <w:rFonts w:hint="eastAsia"/>
                <w:b/>
              </w:rPr>
              <w:t>序号</w:t>
            </w:r>
          </w:p>
        </w:tc>
        <w:tc>
          <w:tcPr>
            <w:tcW w:w="5954" w:type="dxa"/>
            <w:tcBorders>
              <w:top w:val="single" w:color="auto" w:sz="4" w:space="0"/>
              <w:left w:val="single" w:color="auto" w:sz="4" w:space="0"/>
              <w:bottom w:val="single" w:color="auto" w:sz="4" w:space="0"/>
              <w:right w:val="single" w:color="auto" w:sz="4" w:space="0"/>
            </w:tcBorders>
            <w:vAlign w:val="center"/>
          </w:tcPr>
          <w:p>
            <w:pPr>
              <w:pStyle w:val="17"/>
              <w:spacing w:line="276" w:lineRule="auto"/>
              <w:jc w:val="center"/>
            </w:pPr>
            <w:r>
              <w:rPr>
                <w:rFonts w:hint="eastAsia"/>
                <w:b/>
              </w:rPr>
              <w:t>符合性审查内容</w:t>
            </w:r>
          </w:p>
        </w:tc>
        <w:tc>
          <w:tcPr>
            <w:tcW w:w="1630" w:type="dxa"/>
            <w:tcBorders>
              <w:top w:val="single" w:color="auto" w:sz="4" w:space="0"/>
              <w:left w:val="nil"/>
              <w:bottom w:val="single" w:color="auto" w:sz="4" w:space="0"/>
              <w:right w:val="single" w:color="auto" w:sz="4" w:space="0"/>
            </w:tcBorders>
            <w:vAlign w:val="center"/>
          </w:tcPr>
          <w:p>
            <w:pPr>
              <w:pStyle w:val="17"/>
              <w:spacing w:line="276" w:lineRule="auto"/>
              <w:jc w:val="center"/>
              <w:rPr>
                <w:b/>
              </w:rPr>
            </w:pPr>
            <w:r>
              <w:rPr>
                <w:rFonts w:hint="eastAsia"/>
                <w:b/>
              </w:rPr>
              <w:t>/</w:t>
            </w:r>
          </w:p>
        </w:tc>
      </w:tr>
      <w:tr>
        <w:tblPrEx>
          <w:tblCellMar>
            <w:top w:w="57" w:type="dxa"/>
            <w:left w:w="108" w:type="dxa"/>
            <w:bottom w:w="57" w:type="dxa"/>
            <w:right w:w="108" w:type="dxa"/>
          </w:tblCellMar>
        </w:tblPrEx>
        <w:trPr>
          <w:trHeight w:val="340" w:hRule="atLeast"/>
          <w:jc w:val="center"/>
        </w:trPr>
        <w:tc>
          <w:tcPr>
            <w:tcW w:w="697" w:type="dxa"/>
            <w:tcBorders>
              <w:top w:val="nil"/>
              <w:left w:val="single" w:color="auto" w:sz="4" w:space="0"/>
              <w:bottom w:val="single" w:color="auto" w:sz="4" w:space="0"/>
              <w:right w:val="single" w:color="auto" w:sz="4" w:space="0"/>
            </w:tcBorders>
            <w:vAlign w:val="center"/>
          </w:tcPr>
          <w:p>
            <w:pPr>
              <w:pStyle w:val="18"/>
              <w:spacing w:line="276" w:lineRule="auto"/>
              <w:jc w:val="center"/>
            </w:pPr>
            <w:r>
              <w:rPr>
                <w:rFonts w:hint="eastAsia"/>
              </w:rPr>
              <w:t>1</w:t>
            </w:r>
          </w:p>
        </w:tc>
        <w:tc>
          <w:tcPr>
            <w:tcW w:w="5954" w:type="dxa"/>
            <w:tcBorders>
              <w:top w:val="nil"/>
              <w:left w:val="nil"/>
              <w:bottom w:val="single" w:color="auto" w:sz="4" w:space="0"/>
              <w:right w:val="single" w:color="auto" w:sz="4" w:space="0"/>
            </w:tcBorders>
            <w:vAlign w:val="center"/>
          </w:tcPr>
          <w:p>
            <w:pPr>
              <w:pStyle w:val="18"/>
              <w:spacing w:line="276" w:lineRule="auto"/>
            </w:pPr>
            <w:r>
              <w:rPr>
                <w:rFonts w:hint="eastAsia"/>
              </w:rPr>
              <w:t>响应文件按照采购文件要求密封、签署、盖章。</w:t>
            </w:r>
          </w:p>
        </w:tc>
        <w:tc>
          <w:tcPr>
            <w:tcW w:w="1630" w:type="dxa"/>
            <w:tcBorders>
              <w:top w:val="nil"/>
              <w:left w:val="nil"/>
              <w:bottom w:val="single" w:color="auto" w:sz="4" w:space="0"/>
              <w:right w:val="single" w:color="auto" w:sz="4" w:space="0"/>
            </w:tcBorders>
            <w:vAlign w:val="center"/>
          </w:tcPr>
          <w:p>
            <w:pPr>
              <w:pStyle w:val="17"/>
              <w:spacing w:line="276" w:lineRule="auto"/>
            </w:pPr>
          </w:p>
        </w:tc>
      </w:tr>
      <w:tr>
        <w:tblPrEx>
          <w:tblCellMar>
            <w:top w:w="57" w:type="dxa"/>
            <w:left w:w="108" w:type="dxa"/>
            <w:bottom w:w="57" w:type="dxa"/>
            <w:right w:w="108" w:type="dxa"/>
          </w:tblCellMar>
        </w:tblPrEx>
        <w:trPr>
          <w:trHeight w:val="34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pStyle w:val="18"/>
              <w:spacing w:line="276" w:lineRule="auto"/>
              <w:jc w:val="center"/>
            </w:pPr>
            <w:r>
              <w:rPr>
                <w:rFonts w:hint="eastAsia"/>
              </w:rPr>
              <w:t>2</w:t>
            </w:r>
          </w:p>
        </w:tc>
        <w:tc>
          <w:tcPr>
            <w:tcW w:w="5954" w:type="dxa"/>
            <w:tcBorders>
              <w:top w:val="single" w:color="auto" w:sz="4" w:space="0"/>
              <w:left w:val="nil"/>
              <w:bottom w:val="single" w:color="auto" w:sz="4" w:space="0"/>
              <w:right w:val="single" w:color="auto" w:sz="4" w:space="0"/>
            </w:tcBorders>
            <w:vAlign w:val="center"/>
          </w:tcPr>
          <w:p>
            <w:pPr>
              <w:pStyle w:val="18"/>
              <w:spacing w:line="276" w:lineRule="auto"/>
            </w:pPr>
            <w:r>
              <w:rPr>
                <w:rFonts w:hint="eastAsia"/>
              </w:rPr>
              <w:t>企业法定代表人有合法有效的证明文件及其身份证明或委托代理人有合法有效的委托书及其身份证明。</w:t>
            </w:r>
          </w:p>
        </w:tc>
        <w:tc>
          <w:tcPr>
            <w:tcW w:w="1630" w:type="dxa"/>
            <w:tcBorders>
              <w:top w:val="nil"/>
              <w:left w:val="nil"/>
              <w:bottom w:val="single" w:color="auto" w:sz="4" w:space="0"/>
              <w:right w:val="single" w:color="auto" w:sz="4" w:space="0"/>
            </w:tcBorders>
            <w:vAlign w:val="center"/>
          </w:tcPr>
          <w:p>
            <w:pPr>
              <w:pStyle w:val="17"/>
              <w:spacing w:line="276" w:lineRule="auto"/>
            </w:pPr>
          </w:p>
        </w:tc>
      </w:tr>
      <w:tr>
        <w:tblPrEx>
          <w:tblCellMar>
            <w:top w:w="57" w:type="dxa"/>
            <w:left w:w="108" w:type="dxa"/>
            <w:bottom w:w="57" w:type="dxa"/>
            <w:right w:w="108" w:type="dxa"/>
          </w:tblCellMar>
        </w:tblPrEx>
        <w:trPr>
          <w:trHeight w:val="34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pStyle w:val="18"/>
              <w:spacing w:line="276" w:lineRule="auto"/>
              <w:jc w:val="center"/>
            </w:pPr>
            <w:r>
              <w:rPr>
                <w:rFonts w:hint="eastAsia"/>
              </w:rPr>
              <w:t>3</w:t>
            </w:r>
          </w:p>
        </w:tc>
        <w:tc>
          <w:tcPr>
            <w:tcW w:w="5954" w:type="dxa"/>
            <w:tcBorders>
              <w:top w:val="single" w:color="auto" w:sz="4" w:space="0"/>
              <w:left w:val="nil"/>
              <w:bottom w:val="single" w:color="auto" w:sz="4" w:space="0"/>
              <w:right w:val="single" w:color="auto" w:sz="4" w:space="0"/>
            </w:tcBorders>
            <w:vAlign w:val="center"/>
          </w:tcPr>
          <w:p>
            <w:pPr>
              <w:pStyle w:val="18"/>
              <w:spacing w:line="276" w:lineRule="auto"/>
            </w:pPr>
            <w:r>
              <w:rPr>
                <w:rFonts w:hint="eastAsia"/>
              </w:rPr>
              <w:t>按照采购文件要求进行报价，报价未超过项目预算金额及项目最高限价。</w:t>
            </w:r>
          </w:p>
        </w:tc>
        <w:tc>
          <w:tcPr>
            <w:tcW w:w="1630" w:type="dxa"/>
            <w:tcBorders>
              <w:top w:val="nil"/>
              <w:left w:val="nil"/>
              <w:bottom w:val="single" w:color="auto" w:sz="4" w:space="0"/>
              <w:right w:val="single" w:color="auto" w:sz="4" w:space="0"/>
            </w:tcBorders>
            <w:vAlign w:val="center"/>
          </w:tcPr>
          <w:p>
            <w:pPr>
              <w:pStyle w:val="17"/>
              <w:spacing w:line="276" w:lineRule="auto"/>
            </w:pPr>
          </w:p>
        </w:tc>
      </w:tr>
      <w:tr>
        <w:tblPrEx>
          <w:tblCellMar>
            <w:top w:w="57" w:type="dxa"/>
            <w:left w:w="108" w:type="dxa"/>
            <w:bottom w:w="57" w:type="dxa"/>
            <w:right w:w="108" w:type="dxa"/>
          </w:tblCellMar>
        </w:tblPrEx>
        <w:trPr>
          <w:trHeight w:val="34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pStyle w:val="18"/>
              <w:spacing w:line="276" w:lineRule="auto"/>
              <w:jc w:val="center"/>
            </w:pPr>
            <w:r>
              <w:rPr>
                <w:rFonts w:hint="eastAsia"/>
              </w:rPr>
              <w:t>4</w:t>
            </w:r>
          </w:p>
        </w:tc>
        <w:tc>
          <w:tcPr>
            <w:tcW w:w="5954" w:type="dxa"/>
            <w:tcBorders>
              <w:top w:val="single" w:color="auto" w:sz="4" w:space="0"/>
              <w:left w:val="nil"/>
              <w:bottom w:val="single" w:color="auto" w:sz="4" w:space="0"/>
              <w:right w:val="single" w:color="auto" w:sz="4" w:space="0"/>
            </w:tcBorders>
            <w:vAlign w:val="center"/>
          </w:tcPr>
          <w:p>
            <w:pPr>
              <w:pStyle w:val="18"/>
              <w:spacing w:line="276" w:lineRule="auto"/>
            </w:pPr>
            <w:r>
              <w:rPr>
                <w:rFonts w:hint="eastAsia"/>
              </w:rPr>
              <w:t>响应文件有效期（要求见供应商须知）满足采购文件要求。</w:t>
            </w:r>
          </w:p>
        </w:tc>
        <w:tc>
          <w:tcPr>
            <w:tcW w:w="1630" w:type="dxa"/>
            <w:tcBorders>
              <w:top w:val="nil"/>
              <w:left w:val="nil"/>
              <w:bottom w:val="single" w:color="auto" w:sz="4" w:space="0"/>
              <w:right w:val="single" w:color="auto" w:sz="4" w:space="0"/>
            </w:tcBorders>
            <w:vAlign w:val="center"/>
          </w:tcPr>
          <w:p>
            <w:pPr>
              <w:pStyle w:val="17"/>
              <w:spacing w:line="276" w:lineRule="auto"/>
            </w:pPr>
          </w:p>
        </w:tc>
      </w:tr>
      <w:tr>
        <w:tblPrEx>
          <w:tblCellMar>
            <w:top w:w="57" w:type="dxa"/>
            <w:left w:w="108" w:type="dxa"/>
            <w:bottom w:w="57" w:type="dxa"/>
            <w:right w:w="108" w:type="dxa"/>
          </w:tblCellMar>
        </w:tblPrEx>
        <w:trPr>
          <w:trHeight w:val="34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pStyle w:val="18"/>
              <w:spacing w:line="276" w:lineRule="auto"/>
              <w:jc w:val="center"/>
            </w:pPr>
            <w:r>
              <w:rPr>
                <w:rFonts w:hint="eastAsia"/>
              </w:rPr>
              <w:t>5</w:t>
            </w:r>
          </w:p>
        </w:tc>
        <w:tc>
          <w:tcPr>
            <w:tcW w:w="5954" w:type="dxa"/>
            <w:tcBorders>
              <w:top w:val="single" w:color="auto" w:sz="4" w:space="0"/>
              <w:left w:val="nil"/>
              <w:bottom w:val="single" w:color="auto" w:sz="4" w:space="0"/>
              <w:right w:val="single" w:color="auto" w:sz="4" w:space="0"/>
            </w:tcBorders>
            <w:vAlign w:val="center"/>
          </w:tcPr>
          <w:p>
            <w:pPr>
              <w:pStyle w:val="18"/>
              <w:spacing w:line="276" w:lineRule="auto"/>
            </w:pPr>
            <w:r>
              <w:rPr>
                <w:rFonts w:hint="eastAsia"/>
              </w:rPr>
              <w:t>响应文件关于合同履行期限（要求见公告）的响应符合采购文件要求。</w:t>
            </w:r>
          </w:p>
        </w:tc>
        <w:tc>
          <w:tcPr>
            <w:tcW w:w="1630" w:type="dxa"/>
            <w:tcBorders>
              <w:top w:val="nil"/>
              <w:left w:val="nil"/>
              <w:bottom w:val="single" w:color="auto" w:sz="4" w:space="0"/>
              <w:right w:val="single" w:color="auto" w:sz="4" w:space="0"/>
            </w:tcBorders>
            <w:vAlign w:val="center"/>
          </w:tcPr>
          <w:p>
            <w:pPr>
              <w:pStyle w:val="17"/>
              <w:spacing w:line="276" w:lineRule="auto"/>
            </w:pPr>
          </w:p>
        </w:tc>
      </w:tr>
      <w:tr>
        <w:tblPrEx>
          <w:tblCellMar>
            <w:top w:w="57" w:type="dxa"/>
            <w:left w:w="108" w:type="dxa"/>
            <w:bottom w:w="57" w:type="dxa"/>
            <w:right w:w="108" w:type="dxa"/>
          </w:tblCellMar>
        </w:tblPrEx>
        <w:trPr>
          <w:trHeight w:val="34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pStyle w:val="18"/>
              <w:spacing w:line="276" w:lineRule="auto"/>
              <w:jc w:val="center"/>
            </w:pPr>
            <w:r>
              <w:rPr>
                <w:rFonts w:hint="eastAsia"/>
              </w:rPr>
              <w:t>6</w:t>
            </w:r>
          </w:p>
        </w:tc>
        <w:tc>
          <w:tcPr>
            <w:tcW w:w="5954" w:type="dxa"/>
            <w:tcBorders>
              <w:top w:val="single" w:color="auto" w:sz="4" w:space="0"/>
              <w:left w:val="nil"/>
              <w:bottom w:val="single" w:color="auto" w:sz="4" w:space="0"/>
              <w:right w:val="single" w:color="auto" w:sz="4" w:space="0"/>
            </w:tcBorders>
            <w:vAlign w:val="center"/>
          </w:tcPr>
          <w:p>
            <w:pPr>
              <w:pStyle w:val="18"/>
              <w:spacing w:line="276" w:lineRule="auto"/>
            </w:pPr>
            <w:r>
              <w:rPr>
                <w:rFonts w:hint="eastAsia"/>
              </w:rPr>
              <w:t>按采购公告规定获取的采购文件。</w:t>
            </w:r>
          </w:p>
        </w:tc>
        <w:tc>
          <w:tcPr>
            <w:tcW w:w="1630" w:type="dxa"/>
            <w:tcBorders>
              <w:top w:val="nil"/>
              <w:left w:val="nil"/>
              <w:bottom w:val="single" w:color="auto" w:sz="4" w:space="0"/>
              <w:right w:val="single" w:color="auto" w:sz="4" w:space="0"/>
            </w:tcBorders>
            <w:vAlign w:val="center"/>
          </w:tcPr>
          <w:p>
            <w:pPr>
              <w:pStyle w:val="17"/>
              <w:spacing w:line="276" w:lineRule="auto"/>
            </w:pPr>
          </w:p>
        </w:tc>
      </w:tr>
      <w:tr>
        <w:tblPrEx>
          <w:tblCellMar>
            <w:top w:w="57" w:type="dxa"/>
            <w:left w:w="108" w:type="dxa"/>
            <w:bottom w:w="57" w:type="dxa"/>
            <w:right w:w="108" w:type="dxa"/>
          </w:tblCellMar>
        </w:tblPrEx>
        <w:trPr>
          <w:trHeight w:val="34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pStyle w:val="18"/>
              <w:spacing w:line="276" w:lineRule="auto"/>
              <w:jc w:val="center"/>
            </w:pPr>
            <w:r>
              <w:rPr>
                <w:rFonts w:hint="eastAsia"/>
              </w:rPr>
              <w:t>7</w:t>
            </w:r>
          </w:p>
        </w:tc>
        <w:tc>
          <w:tcPr>
            <w:tcW w:w="5954" w:type="dxa"/>
            <w:tcBorders>
              <w:top w:val="single" w:color="auto" w:sz="4" w:space="0"/>
              <w:left w:val="nil"/>
              <w:bottom w:val="single" w:color="auto" w:sz="4" w:space="0"/>
              <w:right w:val="single" w:color="auto" w:sz="4" w:space="0"/>
            </w:tcBorders>
            <w:vAlign w:val="center"/>
          </w:tcPr>
          <w:p>
            <w:pPr>
              <w:pStyle w:val="18"/>
              <w:spacing w:line="276" w:lineRule="auto"/>
            </w:pPr>
            <w:r>
              <w:rPr>
                <w:rFonts w:hint="eastAsia"/>
              </w:rPr>
              <w:t>响应文件未附有采购人不能接受的条件。</w:t>
            </w:r>
          </w:p>
        </w:tc>
        <w:tc>
          <w:tcPr>
            <w:tcW w:w="1630" w:type="dxa"/>
            <w:tcBorders>
              <w:top w:val="nil"/>
              <w:left w:val="nil"/>
              <w:bottom w:val="single" w:color="auto" w:sz="4" w:space="0"/>
              <w:right w:val="single" w:color="auto" w:sz="4" w:space="0"/>
            </w:tcBorders>
            <w:vAlign w:val="center"/>
          </w:tcPr>
          <w:p>
            <w:pPr>
              <w:pStyle w:val="17"/>
              <w:spacing w:line="276" w:lineRule="auto"/>
            </w:pPr>
          </w:p>
        </w:tc>
      </w:tr>
      <w:tr>
        <w:tblPrEx>
          <w:tblCellMar>
            <w:top w:w="57" w:type="dxa"/>
            <w:left w:w="108" w:type="dxa"/>
            <w:bottom w:w="57" w:type="dxa"/>
            <w:right w:w="108" w:type="dxa"/>
          </w:tblCellMar>
        </w:tblPrEx>
        <w:trPr>
          <w:trHeight w:val="34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pStyle w:val="18"/>
              <w:spacing w:line="276" w:lineRule="auto"/>
              <w:jc w:val="center"/>
            </w:pPr>
            <w:r>
              <w:rPr>
                <w:rFonts w:hint="eastAsia"/>
              </w:rPr>
              <w:t>8</w:t>
            </w:r>
          </w:p>
        </w:tc>
        <w:tc>
          <w:tcPr>
            <w:tcW w:w="5954" w:type="dxa"/>
            <w:tcBorders>
              <w:top w:val="single" w:color="auto" w:sz="4" w:space="0"/>
              <w:left w:val="nil"/>
              <w:bottom w:val="single" w:color="auto" w:sz="4" w:space="0"/>
              <w:right w:val="single" w:color="auto" w:sz="4" w:space="0"/>
            </w:tcBorders>
            <w:vAlign w:val="center"/>
          </w:tcPr>
          <w:p>
            <w:pPr>
              <w:pStyle w:val="18"/>
              <w:spacing w:line="276" w:lineRule="auto"/>
            </w:pPr>
            <w:r>
              <w:rPr>
                <w:rFonts w:hint="eastAsia"/>
              </w:rPr>
              <w:t>采购文件规定的其他实质性要求。</w:t>
            </w:r>
          </w:p>
        </w:tc>
        <w:tc>
          <w:tcPr>
            <w:tcW w:w="1630" w:type="dxa"/>
            <w:tcBorders>
              <w:top w:val="nil"/>
              <w:left w:val="nil"/>
              <w:bottom w:val="single" w:color="auto" w:sz="4" w:space="0"/>
              <w:right w:val="single" w:color="auto" w:sz="4" w:space="0"/>
            </w:tcBorders>
            <w:vAlign w:val="center"/>
          </w:tcPr>
          <w:p>
            <w:pPr>
              <w:pStyle w:val="17"/>
              <w:spacing w:line="276" w:lineRule="auto"/>
            </w:pPr>
          </w:p>
        </w:tc>
      </w:tr>
      <w:tr>
        <w:tblPrEx>
          <w:tblCellMar>
            <w:top w:w="57" w:type="dxa"/>
            <w:left w:w="108" w:type="dxa"/>
            <w:bottom w:w="57" w:type="dxa"/>
            <w:right w:w="108" w:type="dxa"/>
          </w:tblCellMar>
        </w:tblPrEx>
        <w:trPr>
          <w:trHeight w:val="602" w:hRule="atLeast"/>
          <w:jc w:val="center"/>
        </w:trPr>
        <w:tc>
          <w:tcPr>
            <w:tcW w:w="6651" w:type="dxa"/>
            <w:gridSpan w:val="2"/>
            <w:tcBorders>
              <w:top w:val="single" w:color="auto" w:sz="4" w:space="0"/>
              <w:left w:val="single" w:color="auto" w:sz="4" w:space="0"/>
              <w:bottom w:val="single" w:color="auto" w:sz="4" w:space="0"/>
              <w:right w:val="single" w:color="auto" w:sz="4" w:space="0"/>
            </w:tcBorders>
            <w:vAlign w:val="center"/>
          </w:tcPr>
          <w:p>
            <w:pPr>
              <w:pStyle w:val="17"/>
              <w:spacing w:line="276" w:lineRule="auto"/>
              <w:jc w:val="center"/>
              <w:rPr>
                <w:b/>
              </w:rPr>
            </w:pPr>
            <w:r>
              <w:rPr>
                <w:rFonts w:hint="eastAsia"/>
                <w:b/>
              </w:rPr>
              <w:t>审核结论</w:t>
            </w:r>
          </w:p>
        </w:tc>
        <w:tc>
          <w:tcPr>
            <w:tcW w:w="1630" w:type="dxa"/>
            <w:tcBorders>
              <w:top w:val="single" w:color="auto" w:sz="4" w:space="0"/>
              <w:left w:val="nil"/>
              <w:bottom w:val="single" w:color="auto" w:sz="4" w:space="0"/>
              <w:right w:val="single" w:color="auto" w:sz="4" w:space="0"/>
            </w:tcBorders>
            <w:vAlign w:val="center"/>
          </w:tcPr>
          <w:p>
            <w:pPr>
              <w:pStyle w:val="17"/>
              <w:spacing w:line="276" w:lineRule="auto"/>
            </w:pPr>
          </w:p>
        </w:tc>
      </w:tr>
    </w:tbl>
    <w:p>
      <w:pPr>
        <w:ind w:firstLine="480"/>
      </w:pPr>
      <w:r>
        <w:rPr>
          <w:rFonts w:hint="eastAsia"/>
        </w:rPr>
        <w:t xml:space="preserve">说明： </w:t>
      </w:r>
    </w:p>
    <w:p>
      <w:pPr>
        <w:ind w:firstLine="480"/>
      </w:pPr>
      <w:r>
        <w:rPr>
          <w:rFonts w:hint="eastAsia"/>
        </w:rPr>
        <w:t>1、谈判小组分别对每一响应文件依据上表进行检查。</w:t>
      </w:r>
    </w:p>
    <w:p>
      <w:pPr>
        <w:ind w:firstLine="480"/>
      </w:pPr>
      <w:r>
        <w:rPr>
          <w:rFonts w:hint="eastAsia"/>
        </w:rPr>
        <w:t>2、满足要求的条款打“√”，否则为“×”。</w:t>
      </w:r>
    </w:p>
    <w:p>
      <w:pPr>
        <w:ind w:firstLine="482"/>
        <w:rPr>
          <w:b/>
          <w:bCs/>
        </w:rPr>
      </w:pPr>
      <w:r>
        <w:rPr>
          <w:rFonts w:hint="eastAsia"/>
          <w:b/>
          <w:bCs/>
        </w:rPr>
        <w:t>3、响应文件中有任意一条不满足上表要求的将导致其响应无效。</w:t>
      </w:r>
    </w:p>
    <w:p>
      <w:pPr>
        <w:ind w:firstLine="480"/>
        <w:rPr>
          <w:sz w:val="20"/>
        </w:rPr>
      </w:pPr>
      <w:r>
        <w:rPr>
          <w:rFonts w:hint="eastAsia"/>
        </w:rPr>
        <w:t>4、通过资格性和符合性审查的供应商才能进行谈判环节。</w:t>
      </w:r>
    </w:p>
    <w:p>
      <w:pPr>
        <w:pStyle w:val="5"/>
        <w:numPr>
          <w:ilvl w:val="0"/>
          <w:numId w:val="0"/>
        </w:numPr>
        <w:spacing w:line="560" w:lineRule="exact"/>
        <w:ind w:left="1132" w:hanging="1132" w:hangingChars="470"/>
        <w:jc w:val="center"/>
      </w:pPr>
      <w:r>
        <w:rPr>
          <w:rFonts w:hint="eastAsia" w:cs="仿宋"/>
        </w:rPr>
        <w:br w:type="page"/>
      </w:r>
      <w:r>
        <w:rPr>
          <w:rFonts w:hint="eastAsia"/>
        </w:rPr>
        <w:t>一、</w:t>
      </w:r>
      <w:bookmarkEnd w:id="62"/>
      <w:r>
        <w:rPr>
          <w:rFonts w:hint="eastAsia"/>
        </w:rPr>
        <w:t>法定代表人授权委托书</w:t>
      </w:r>
      <w:bookmarkEnd w:id="63"/>
    </w:p>
    <w:p>
      <w:pPr>
        <w:adjustRightInd w:val="0"/>
        <w:snapToGrid w:val="0"/>
        <w:spacing w:line="500" w:lineRule="exact"/>
        <w:jc w:val="center"/>
        <w:rPr>
          <w:rFonts w:ascii="宋体" w:hAnsi="宋体"/>
          <w:b/>
          <w:bCs/>
          <w:sz w:val="24"/>
        </w:rPr>
      </w:pPr>
    </w:p>
    <w:p>
      <w:pPr>
        <w:adjustRightInd w:val="0"/>
        <w:snapToGrid w:val="0"/>
        <w:spacing w:line="500" w:lineRule="exact"/>
        <w:ind w:firstLine="480"/>
        <w:rPr>
          <w:rFonts w:ascii="宋体" w:hAnsi="宋体"/>
          <w:bCs/>
          <w:sz w:val="24"/>
        </w:rPr>
      </w:pPr>
      <w:r>
        <w:rPr>
          <w:rFonts w:hint="eastAsia" w:ascii="宋体" w:hAnsi="宋体"/>
          <w:bCs/>
          <w:sz w:val="24"/>
        </w:rPr>
        <w:t>本授权委托书声明：我</w:t>
      </w:r>
      <w:r>
        <w:rPr>
          <w:rFonts w:hint="eastAsia" w:ascii="宋体" w:hAnsi="宋体"/>
          <w:bCs/>
          <w:sz w:val="24"/>
          <w:u w:val="single"/>
        </w:rPr>
        <w:t xml:space="preserve">   </w:t>
      </w:r>
      <w:r>
        <w:rPr>
          <w:rFonts w:hint="eastAsia" w:ascii="宋体" w:hAnsi="宋体"/>
          <w:bCs/>
          <w:i/>
          <w:sz w:val="24"/>
          <w:u w:val="single"/>
        </w:rPr>
        <w:t xml:space="preserve">（法定代表人姓名）  </w:t>
      </w:r>
      <w:r>
        <w:rPr>
          <w:rFonts w:hint="eastAsia" w:ascii="宋体" w:hAnsi="宋体"/>
          <w:bCs/>
          <w:sz w:val="24"/>
          <w:u w:val="single"/>
        </w:rPr>
        <w:t xml:space="preserve"> </w:t>
      </w:r>
      <w:r>
        <w:rPr>
          <w:rFonts w:hint="eastAsia" w:ascii="宋体" w:hAnsi="宋体"/>
          <w:bCs/>
          <w:sz w:val="24"/>
        </w:rPr>
        <w:t>，系</w:t>
      </w:r>
      <w:r>
        <w:rPr>
          <w:rFonts w:hint="eastAsia" w:ascii="宋体" w:hAnsi="宋体"/>
          <w:bCs/>
          <w:sz w:val="24"/>
          <w:u w:val="single"/>
        </w:rPr>
        <w:t xml:space="preserve">     </w:t>
      </w:r>
      <w:r>
        <w:rPr>
          <w:rFonts w:hint="eastAsia" w:ascii="宋体" w:hAnsi="宋体"/>
          <w:bCs/>
          <w:i/>
          <w:sz w:val="24"/>
          <w:u w:val="single"/>
        </w:rPr>
        <w:t xml:space="preserve">（供应商名称） </w:t>
      </w:r>
      <w:r>
        <w:rPr>
          <w:rFonts w:hint="eastAsia" w:ascii="宋体" w:hAnsi="宋体"/>
          <w:bCs/>
          <w:sz w:val="24"/>
          <w:u w:val="single"/>
        </w:rPr>
        <w:t xml:space="preserve">    </w:t>
      </w:r>
      <w:r>
        <w:rPr>
          <w:rFonts w:hint="eastAsia" w:ascii="宋体" w:hAnsi="宋体"/>
          <w:bCs/>
          <w:sz w:val="24"/>
        </w:rPr>
        <w:t>的法定代表人，现授权委托</w:t>
      </w:r>
      <w:r>
        <w:rPr>
          <w:rFonts w:hint="eastAsia" w:ascii="宋体" w:hAnsi="宋体"/>
          <w:bCs/>
          <w:sz w:val="24"/>
          <w:u w:val="single"/>
        </w:rPr>
        <w:t xml:space="preserve">  </w:t>
      </w:r>
      <w:r>
        <w:rPr>
          <w:rFonts w:hint="eastAsia" w:ascii="宋体" w:hAnsi="宋体"/>
          <w:bCs/>
          <w:i/>
          <w:sz w:val="24"/>
          <w:u w:val="single"/>
        </w:rPr>
        <w:t xml:space="preserve">（授权代表姓名） </w:t>
      </w:r>
      <w:r>
        <w:rPr>
          <w:rFonts w:hint="eastAsia" w:ascii="宋体" w:hAnsi="宋体"/>
          <w:bCs/>
          <w:sz w:val="24"/>
          <w:u w:val="single"/>
        </w:rPr>
        <w:t xml:space="preserve"> </w:t>
      </w:r>
      <w:r>
        <w:rPr>
          <w:rFonts w:hint="eastAsia" w:ascii="宋体" w:hAnsi="宋体"/>
          <w:bCs/>
          <w:sz w:val="24"/>
        </w:rPr>
        <w:t>为我公司代理人，以本公司的名义参加</w:t>
      </w:r>
      <w:r>
        <w:rPr>
          <w:rFonts w:hint="eastAsia" w:ascii="宋体" w:hAnsi="宋体"/>
          <w:bCs/>
          <w:sz w:val="24"/>
          <w:u w:val="single"/>
        </w:rPr>
        <w:t xml:space="preserve">  </w:t>
      </w:r>
      <w:r>
        <w:rPr>
          <w:rFonts w:hint="eastAsia" w:ascii="宋体" w:hAnsi="宋体"/>
          <w:bCs/>
          <w:i/>
          <w:sz w:val="24"/>
          <w:u w:val="single"/>
        </w:rPr>
        <w:t xml:space="preserve">（项目名称） </w:t>
      </w:r>
      <w:r>
        <w:rPr>
          <w:rFonts w:hint="eastAsia" w:ascii="宋体" w:hAnsi="宋体"/>
          <w:bCs/>
          <w:sz w:val="24"/>
          <w:u w:val="single"/>
        </w:rPr>
        <w:t xml:space="preserve"> </w:t>
      </w:r>
      <w:r>
        <w:rPr>
          <w:rFonts w:hint="eastAsia" w:ascii="宋体" w:hAnsi="宋体"/>
          <w:bCs/>
          <w:sz w:val="24"/>
        </w:rPr>
        <w:t>的谈判活动，授权代表在本项目政府采购活动过程中所签署的一切文件和处理与之有关的一切事务，我均予承认。</w:t>
      </w:r>
    </w:p>
    <w:p>
      <w:pPr>
        <w:adjustRightInd w:val="0"/>
        <w:snapToGrid w:val="0"/>
        <w:spacing w:line="500" w:lineRule="exact"/>
        <w:ind w:firstLine="480"/>
        <w:rPr>
          <w:rFonts w:ascii="宋体" w:hAnsi="宋体"/>
          <w:bCs/>
          <w:sz w:val="24"/>
        </w:rPr>
      </w:pPr>
      <w:r>
        <w:rPr>
          <w:rFonts w:hint="eastAsia" w:ascii="宋体" w:hAnsi="宋体"/>
          <w:bCs/>
          <w:sz w:val="24"/>
        </w:rPr>
        <w:t>该授权代表无转委托权。</w:t>
      </w:r>
    </w:p>
    <w:p>
      <w:pPr>
        <w:adjustRightInd w:val="0"/>
        <w:snapToGrid w:val="0"/>
        <w:spacing w:line="500" w:lineRule="exact"/>
        <w:ind w:firstLine="480"/>
        <w:rPr>
          <w:rFonts w:ascii="宋体" w:hAnsi="宋体"/>
          <w:bCs/>
          <w:sz w:val="24"/>
        </w:rPr>
      </w:pPr>
    </w:p>
    <w:p>
      <w:pPr>
        <w:adjustRightInd w:val="0"/>
        <w:snapToGrid w:val="0"/>
        <w:spacing w:line="500" w:lineRule="exact"/>
        <w:ind w:firstLine="480"/>
        <w:rPr>
          <w:rFonts w:ascii="宋体" w:hAnsi="宋体"/>
          <w:bCs/>
          <w:sz w:val="24"/>
        </w:rPr>
      </w:pPr>
      <w:r>
        <w:rPr>
          <w:rFonts w:hint="eastAsia" w:ascii="宋体" w:hAnsi="宋体"/>
          <w:bCs/>
          <w:sz w:val="24"/>
        </w:rPr>
        <w:t>特此授权。</w:t>
      </w:r>
    </w:p>
    <w:p>
      <w:pPr>
        <w:adjustRightInd w:val="0"/>
        <w:snapToGrid w:val="0"/>
        <w:spacing w:line="500" w:lineRule="exact"/>
        <w:ind w:firstLine="480"/>
        <w:rPr>
          <w:rFonts w:ascii="宋体" w:hAnsi="宋体"/>
          <w:bCs/>
          <w:sz w:val="24"/>
        </w:rPr>
      </w:pP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Cs/>
          <w:sz w:val="24"/>
        </w:rPr>
      </w:pPr>
    </w:p>
    <w:p>
      <w:pPr>
        <w:adjustRightInd w:val="0"/>
        <w:snapToGrid w:val="0"/>
        <w:spacing w:line="640" w:lineRule="exact"/>
        <w:ind w:firstLine="3120" w:firstLineChars="1300"/>
        <w:jc w:val="left"/>
        <w:rPr>
          <w:rFonts w:ascii="宋体" w:hAnsi="宋体"/>
          <w:bCs/>
          <w:sz w:val="24"/>
        </w:rPr>
      </w:pPr>
      <w:r>
        <w:rPr>
          <w:rFonts w:hint="eastAsia" w:ascii="宋体" w:hAnsi="宋体"/>
          <w:bCs/>
          <w:sz w:val="24"/>
        </w:rPr>
        <w:t>供应商（公章）：</w:t>
      </w:r>
    </w:p>
    <w:p>
      <w:pPr>
        <w:adjustRightInd w:val="0"/>
        <w:snapToGrid w:val="0"/>
        <w:spacing w:line="640" w:lineRule="exact"/>
        <w:ind w:firstLine="3120" w:firstLineChars="1300"/>
        <w:jc w:val="left"/>
        <w:rPr>
          <w:rFonts w:ascii="宋体" w:hAnsi="宋体"/>
          <w:bCs/>
          <w:sz w:val="24"/>
        </w:rPr>
      </w:pPr>
      <w:r>
        <w:rPr>
          <w:rFonts w:hint="eastAsia" w:ascii="宋体" w:hAnsi="宋体"/>
          <w:bCs/>
          <w:sz w:val="24"/>
        </w:rPr>
        <w:t>法定代表人（签字或盖章）：</w:t>
      </w:r>
    </w:p>
    <w:p>
      <w:pPr>
        <w:adjustRightInd w:val="0"/>
        <w:snapToGrid w:val="0"/>
        <w:spacing w:line="640" w:lineRule="exact"/>
        <w:ind w:left="3720" w:hanging="3720" w:hangingChars="1550"/>
        <w:jc w:val="left"/>
        <w:rPr>
          <w:rFonts w:ascii="宋体" w:hAnsi="宋体"/>
          <w:bCs/>
          <w:sz w:val="24"/>
        </w:rPr>
      </w:pPr>
      <w:r>
        <w:rPr>
          <w:rFonts w:hint="eastAsia" w:ascii="宋体" w:hAnsi="宋体"/>
          <w:bCs/>
          <w:sz w:val="24"/>
        </w:rPr>
        <w:t xml:space="preserve">                          授权代表姓名：           性别：       年龄：        </w:t>
      </w:r>
    </w:p>
    <w:p>
      <w:pPr>
        <w:adjustRightInd w:val="0"/>
        <w:snapToGrid w:val="0"/>
        <w:spacing w:line="640" w:lineRule="exact"/>
        <w:ind w:left="3712" w:leftChars="1482" w:hanging="600" w:hangingChars="250"/>
        <w:jc w:val="left"/>
        <w:rPr>
          <w:rFonts w:ascii="宋体" w:hAnsi="宋体"/>
          <w:bCs/>
          <w:sz w:val="24"/>
        </w:rPr>
      </w:pPr>
      <w:r>
        <w:rPr>
          <w:rFonts w:hint="eastAsia" w:ascii="宋体" w:hAnsi="宋体"/>
          <w:bCs/>
          <w:sz w:val="24"/>
        </w:rPr>
        <w:t>职务：</w:t>
      </w:r>
    </w:p>
    <w:p>
      <w:pPr>
        <w:adjustRightInd w:val="0"/>
        <w:snapToGrid w:val="0"/>
        <w:spacing w:line="640" w:lineRule="exact"/>
        <w:jc w:val="left"/>
        <w:rPr>
          <w:rFonts w:ascii="宋体" w:hAnsi="宋体"/>
          <w:bCs/>
          <w:sz w:val="24"/>
          <w:u w:val="single"/>
        </w:rPr>
      </w:pPr>
      <w:r>
        <w:rPr>
          <w:rFonts w:hint="eastAsia" w:ascii="宋体" w:hAnsi="宋体"/>
          <w:bCs/>
          <w:sz w:val="24"/>
        </w:rPr>
        <w:t xml:space="preserve">                          授权委托日期：       年        月        日</w:t>
      </w: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
          <w:bCs/>
          <w:sz w:val="24"/>
        </w:rPr>
      </w:pPr>
      <w:r>
        <w:rPr>
          <w:rFonts w:hint="eastAsia" w:ascii="宋体" w:hAnsi="宋体"/>
          <w:b/>
          <w:bCs/>
          <w:sz w:val="24"/>
        </w:rPr>
        <w:t>附：授权代表人身份证复印件</w:t>
      </w: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Cs/>
          <w:sz w:val="24"/>
        </w:rPr>
      </w:pPr>
    </w:p>
    <w:p>
      <w:pPr>
        <w:pStyle w:val="15"/>
        <w:spacing w:line="300" w:lineRule="auto"/>
        <w:jc w:val="center"/>
        <w:rPr>
          <w:rFonts w:hAnsi="宋体" w:cs="Arial"/>
          <w:b/>
          <w:color w:val="auto"/>
        </w:rPr>
      </w:pPr>
    </w:p>
    <w:p>
      <w:pPr>
        <w:pStyle w:val="15"/>
        <w:spacing w:line="300" w:lineRule="auto"/>
        <w:jc w:val="center"/>
        <w:rPr>
          <w:rFonts w:hAnsi="宋体" w:cs="Arial"/>
          <w:b/>
          <w:color w:val="auto"/>
        </w:rPr>
      </w:pPr>
    </w:p>
    <w:p>
      <w:pPr>
        <w:pStyle w:val="15"/>
        <w:spacing w:line="300" w:lineRule="auto"/>
        <w:jc w:val="center"/>
        <w:rPr>
          <w:rFonts w:hAnsi="宋体" w:cs="Arial"/>
          <w:b/>
          <w:color w:val="auto"/>
        </w:rPr>
      </w:pPr>
    </w:p>
    <w:p>
      <w:pPr>
        <w:pStyle w:val="15"/>
        <w:spacing w:line="300" w:lineRule="auto"/>
        <w:jc w:val="center"/>
        <w:rPr>
          <w:rFonts w:hAnsi="宋体" w:cs="Arial"/>
          <w:b/>
          <w:color w:val="auto"/>
        </w:rPr>
      </w:pPr>
      <w:r>
        <w:rPr>
          <w:rFonts w:hAnsi="宋体" w:cs="Arial"/>
          <w:b/>
          <w:color w:val="auto"/>
        </w:rPr>
        <w:t>定代表人身份证明</w:t>
      </w:r>
      <w:r>
        <w:rPr>
          <w:rFonts w:hint="eastAsia" w:hAnsi="宋体" w:cs="Arial"/>
          <w:b/>
          <w:color w:val="auto"/>
        </w:rPr>
        <w:t>书</w:t>
      </w:r>
    </w:p>
    <w:p>
      <w:pPr>
        <w:pStyle w:val="15"/>
        <w:spacing w:line="500" w:lineRule="exact"/>
        <w:jc w:val="both"/>
        <w:rPr>
          <w:rFonts w:ascii="Arial" w:hAnsi="Arial" w:cs="Arial"/>
          <w:color w:val="auto"/>
        </w:rPr>
      </w:pPr>
    </w:p>
    <w:p>
      <w:pPr>
        <w:pStyle w:val="15"/>
        <w:spacing w:line="500" w:lineRule="exact"/>
        <w:jc w:val="both"/>
        <w:rPr>
          <w:rFonts w:ascii="Arial" w:hAnsi="Arial" w:cs="Arial"/>
          <w:color w:val="auto"/>
        </w:rPr>
      </w:pPr>
      <w:r>
        <w:rPr>
          <w:rFonts w:ascii="Arial" w:hAnsi="Arial" w:cs="Arial"/>
          <w:color w:val="auto"/>
        </w:rPr>
        <w:t xml:space="preserve">供应商名称：                               </w:t>
      </w:r>
    </w:p>
    <w:p>
      <w:pPr>
        <w:pStyle w:val="15"/>
        <w:spacing w:line="500" w:lineRule="exact"/>
        <w:jc w:val="both"/>
        <w:rPr>
          <w:rFonts w:ascii="Arial" w:hAnsi="Arial" w:cs="Arial"/>
          <w:color w:val="auto"/>
        </w:rPr>
      </w:pPr>
      <w:r>
        <w:rPr>
          <w:rFonts w:ascii="Arial" w:hAnsi="Arial" w:cs="Arial"/>
          <w:color w:val="auto"/>
        </w:rPr>
        <w:t xml:space="preserve">单位性质：                                </w:t>
      </w:r>
    </w:p>
    <w:p>
      <w:pPr>
        <w:pStyle w:val="15"/>
        <w:spacing w:line="500" w:lineRule="exact"/>
        <w:jc w:val="both"/>
        <w:rPr>
          <w:rFonts w:ascii="Arial" w:hAnsi="Arial" w:cs="Arial"/>
          <w:color w:val="auto"/>
        </w:rPr>
      </w:pPr>
      <w:r>
        <w:rPr>
          <w:rFonts w:ascii="Arial" w:hAnsi="Arial" w:cs="Arial"/>
          <w:color w:val="auto"/>
        </w:rPr>
        <w:t xml:space="preserve">成立时间：         年          月        日 </w:t>
      </w:r>
    </w:p>
    <w:p>
      <w:pPr>
        <w:pStyle w:val="15"/>
        <w:spacing w:line="500" w:lineRule="exact"/>
        <w:jc w:val="both"/>
        <w:rPr>
          <w:rFonts w:ascii="Arial" w:hAnsi="Arial" w:cs="Arial"/>
          <w:color w:val="auto"/>
        </w:rPr>
      </w:pPr>
      <w:r>
        <w:rPr>
          <w:rFonts w:ascii="Arial" w:hAnsi="Arial" w:cs="Arial"/>
          <w:color w:val="auto"/>
        </w:rPr>
        <w:t xml:space="preserve">经营期限：                                   </w:t>
      </w:r>
    </w:p>
    <w:p>
      <w:pPr>
        <w:pStyle w:val="15"/>
        <w:spacing w:line="500" w:lineRule="exact"/>
        <w:jc w:val="both"/>
        <w:rPr>
          <w:rFonts w:ascii="Arial" w:hAnsi="Arial" w:cs="Arial"/>
          <w:color w:val="auto"/>
        </w:rPr>
      </w:pPr>
      <w:r>
        <w:rPr>
          <w:rFonts w:ascii="Arial" w:hAnsi="Arial" w:cs="Arial"/>
          <w:color w:val="auto"/>
        </w:rPr>
        <w:t xml:space="preserve">姓名：         性别：         年龄：         职务：         </w:t>
      </w:r>
    </w:p>
    <w:p>
      <w:pPr>
        <w:pStyle w:val="15"/>
        <w:spacing w:line="500" w:lineRule="exact"/>
        <w:jc w:val="both"/>
        <w:rPr>
          <w:rFonts w:ascii="Arial" w:hAnsi="Arial" w:cs="Arial"/>
          <w:color w:val="auto"/>
        </w:rPr>
      </w:pPr>
      <w:r>
        <w:rPr>
          <w:rFonts w:ascii="Arial" w:hAnsi="Arial" w:cs="Arial"/>
          <w:color w:val="auto"/>
        </w:rPr>
        <w:t>系                                （供应商名称）的法定代表人</w:t>
      </w:r>
    </w:p>
    <w:p>
      <w:pPr>
        <w:pStyle w:val="15"/>
        <w:spacing w:line="500" w:lineRule="exact"/>
        <w:ind w:firstLine="480" w:firstLineChars="200"/>
        <w:jc w:val="both"/>
        <w:rPr>
          <w:rFonts w:ascii="Arial" w:hAnsi="Arial" w:cs="Arial"/>
          <w:color w:val="auto"/>
        </w:rPr>
      </w:pPr>
      <w:r>
        <w:rPr>
          <w:rFonts w:ascii="Arial" w:hAnsi="Arial" w:cs="Arial"/>
          <w:color w:val="auto"/>
        </w:rPr>
        <w:t>特此证明。</w:t>
      </w:r>
    </w:p>
    <w:p>
      <w:pPr>
        <w:pStyle w:val="15"/>
        <w:spacing w:line="500" w:lineRule="exact"/>
        <w:ind w:firstLine="480" w:firstLineChars="200"/>
        <w:jc w:val="both"/>
        <w:rPr>
          <w:rFonts w:ascii="Arial" w:hAnsi="Arial" w:cs="Arial"/>
          <w:color w:val="auto"/>
        </w:rPr>
      </w:pPr>
    </w:p>
    <w:p>
      <w:pPr>
        <w:pStyle w:val="15"/>
        <w:spacing w:line="500" w:lineRule="exact"/>
        <w:ind w:firstLine="480" w:firstLineChars="200"/>
        <w:jc w:val="both"/>
        <w:rPr>
          <w:rFonts w:ascii="Arial" w:hAnsi="Arial" w:cs="Arial"/>
          <w:color w:val="auto"/>
        </w:rPr>
      </w:pPr>
    </w:p>
    <w:p>
      <w:pPr>
        <w:pStyle w:val="15"/>
        <w:spacing w:line="500" w:lineRule="exact"/>
        <w:ind w:firstLine="480" w:firstLineChars="200"/>
        <w:jc w:val="both"/>
        <w:rPr>
          <w:rFonts w:ascii="Arial" w:hAnsi="Arial" w:cs="Arial"/>
          <w:color w:val="auto"/>
        </w:rPr>
      </w:pPr>
      <w:r>
        <w:rPr>
          <w:rFonts w:ascii="Arial" w:hAnsi="Arial" w:cs="Arial"/>
          <w:color w:val="auto"/>
        </w:rPr>
        <w:t xml:space="preserve">                                    </w:t>
      </w:r>
      <w:r>
        <w:rPr>
          <w:rFonts w:hint="eastAsia" w:ascii="Arial" w:hAnsi="Arial" w:cs="Arial"/>
          <w:color w:val="auto"/>
        </w:rPr>
        <w:t>供应商</w:t>
      </w:r>
      <w:r>
        <w:rPr>
          <w:rFonts w:ascii="Arial" w:hAnsi="Arial" w:cs="Arial"/>
          <w:color w:val="auto"/>
        </w:rPr>
        <w:t xml:space="preserve">：               （盖单位章） </w:t>
      </w:r>
    </w:p>
    <w:p>
      <w:pPr>
        <w:pStyle w:val="15"/>
        <w:spacing w:line="500" w:lineRule="exact"/>
        <w:ind w:firstLine="5040" w:firstLineChars="2100"/>
        <w:jc w:val="both"/>
        <w:rPr>
          <w:rFonts w:ascii="Arial" w:hAnsi="Arial" w:cs="Arial"/>
          <w:color w:val="auto"/>
        </w:rPr>
      </w:pPr>
    </w:p>
    <w:p>
      <w:pPr>
        <w:pStyle w:val="15"/>
        <w:spacing w:line="500" w:lineRule="exact"/>
        <w:ind w:firstLine="5040" w:firstLineChars="2100"/>
        <w:jc w:val="both"/>
        <w:rPr>
          <w:rFonts w:ascii="Arial" w:hAnsi="Arial" w:cs="Arial"/>
          <w:color w:val="auto"/>
        </w:rPr>
      </w:pPr>
      <w:r>
        <w:rPr>
          <w:rFonts w:ascii="Arial" w:hAnsi="Arial" w:cs="Arial"/>
          <w:color w:val="auto"/>
        </w:rPr>
        <w:t xml:space="preserve">         年      月      日</w:t>
      </w:r>
    </w:p>
    <w:p>
      <w:pPr>
        <w:pStyle w:val="15"/>
        <w:spacing w:line="500" w:lineRule="exact"/>
        <w:ind w:firstLine="4410" w:firstLineChars="2100"/>
        <w:jc w:val="both"/>
        <w:rPr>
          <w:rFonts w:ascii="Arial" w:hAnsi="Arial" w:cs="Arial"/>
          <w:color w:val="auto"/>
          <w:sz w:val="21"/>
          <w:szCs w:val="21"/>
        </w:rPr>
      </w:pPr>
    </w:p>
    <w:p>
      <w:pPr>
        <w:adjustRightInd w:val="0"/>
        <w:snapToGrid w:val="0"/>
        <w:spacing w:line="500" w:lineRule="exact"/>
        <w:jc w:val="left"/>
        <w:rPr>
          <w:rFonts w:ascii="宋体" w:hAnsi="宋体"/>
          <w:bCs/>
          <w:sz w:val="24"/>
        </w:rPr>
      </w:pPr>
      <w:r>
        <w:rPr>
          <w:rFonts w:ascii="宋体" w:hAnsi="宋体"/>
          <w:b/>
          <w:bCs/>
          <w:sz w:val="24"/>
        </w:rPr>
        <w:t>附：法定代表人身份证复印件</w:t>
      </w:r>
    </w:p>
    <w:bookmarkEnd w:id="64"/>
    <w:p>
      <w:pPr>
        <w:pStyle w:val="7"/>
        <w:rPr>
          <w:rFonts w:ascii="宋体" w:hAnsi="宋体"/>
        </w:rPr>
      </w:pPr>
    </w:p>
    <w:p>
      <w:pPr>
        <w:pStyle w:val="7"/>
        <w:rPr>
          <w:rFonts w:ascii="宋体" w:hAnsi="宋体"/>
        </w:rPr>
      </w:pPr>
    </w:p>
    <w:p>
      <w:pPr>
        <w:tabs>
          <w:tab w:val="left" w:pos="1512"/>
        </w:tabs>
        <w:spacing w:line="560" w:lineRule="exact"/>
        <w:ind w:left="839" w:leftChars="228" w:hanging="360" w:hangingChars="150"/>
        <w:rPr>
          <w:rFonts w:ascii="宋体" w:hAnsi="宋体" w:cs="Arial"/>
          <w:iCs/>
          <w:sz w:val="24"/>
        </w:rPr>
      </w:pPr>
    </w:p>
    <w:p>
      <w:pPr>
        <w:tabs>
          <w:tab w:val="left" w:pos="1512"/>
        </w:tabs>
        <w:spacing w:line="560" w:lineRule="exact"/>
        <w:ind w:left="839" w:leftChars="228" w:hanging="360" w:hangingChars="150"/>
        <w:rPr>
          <w:rFonts w:ascii="宋体" w:hAnsi="宋体" w:cs="Arial"/>
          <w:iCs/>
          <w:sz w:val="24"/>
        </w:rPr>
      </w:pPr>
    </w:p>
    <w:p/>
    <w:sectPr>
      <w:headerReference r:id="rId5" w:type="default"/>
      <w:footerReference r:id="rId6" w:type="default"/>
      <w:type w:val="continuous"/>
      <w:pgSz w:w="11907" w:h="16840"/>
      <w:pgMar w:top="1021" w:right="1247" w:bottom="1134" w:left="1644" w:header="907" w:footer="90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80"/>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PMingLiU">
    <w:altName w:val="Microsoft JhengHei UI"/>
    <w:panose1 w:val="02010601000101010101"/>
    <w:charset w:val="88"/>
    <w:family w:val="roman"/>
    <w:pitch w:val="default"/>
    <w:sig w:usb0="00000000" w:usb1="0000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ind w:right="40" w:firstLine="1680" w:firstLineChars="800"/>
    </w:pPr>
    <w:r>
      <w:rPr>
        <w:rFonts w:hint="eastAsia"/>
      </w:rPr>
      <w:t xml:space="preserve">              </w:t>
    </w:r>
    <w:r>
      <w:rPr>
        <w:rFonts w:hint="eastAsia" w:ascii="黑体"/>
      </w:rPr>
      <w:t xml:space="preserve">   </w: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ind w:right="40" w:firstLine="1260" w:firstLineChars="60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N5CO6kIAgAAAQQAAA4AAABkcnMvZTJvRG9jLnhtbK1TzY7TMBC+I/EO&#10;lu80bflboqarZasipIVFWngA13Eai9hjjd0m5QHgDfbEhTvP1efYsZOUZbnsgYs1tsfffN8348V5&#10;Zxq2V+g12ILPJlPOlJVQarst+JfP62dnnPkgbCkasKrgB+X5+fLpk0XrcjWHGppSISMQ6/PWFbwO&#10;weVZ5mWtjPATcMrSZQVoRKAtbrMSRUvopsnm0+mrrAUsHYJU3tPpqr/kAyI+BhCqSku1ArkzyoYe&#10;FVUjAknytXaeLxPbqlIyXFeVV4E1BSelIa1UhOJNXLPlQuRbFK7WcqAgHkPhgSYjtKWiJ6iVCILt&#10;UP8DZbRE8FCFiQST9UKSI6RiNn3gzU0tnEpayGrvTqb7/wcrP+4/IdMlTQJnVhhq+PH2x/Hn7+Ov&#10;72wW7WmdzynrxlFe6N5CF1OjVO+uQH71zMJlLexWXSBCWytREr30Mrv3tMfxEWTTfoCS6ohdgATU&#10;VWgiILnBCJ1aczi1RnWBSTp8efZiTheSbmbP37yeps5lIh/fOvThnQLDYlBwpMYnbLG/8oFUUOqY&#10;EktZWOumSc1v7F8HlBhPEvdItyceuk03eLGB8kAqEPpZop9EQQ34jbOW5qjglr4NZ817Sz7EkRsD&#10;HIPNGAgr6WHBA2d9eBn60dw51NuacEenL8irtU5Coqk9h4ElTUbSN0xxHL37+5T15+cu7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LW7l30AAAAAIBAAAPAAAAAAAAAAEAIAAAACIAAABkcnMvZG93&#10;bnJldi54bWxQSwECFAAUAAAACACHTuJA3kI7qQgCAAABBAAADgAAAAAAAAABACAAAAAfAQAAZHJz&#10;L2Uyb0RvYy54bWxQSwUGAAAAAAYABgBZAQAAmQU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B4417F"/>
    <w:multiLevelType w:val="multilevel"/>
    <w:tmpl w:val="03B4417F"/>
    <w:lvl w:ilvl="0" w:tentative="0">
      <w:start w:val="1"/>
      <w:numFmt w:val="decimal"/>
      <w:pStyle w:val="16"/>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
    <w:nsid w:val="450513B8"/>
    <w:multiLevelType w:val="multilevel"/>
    <w:tmpl w:val="450513B8"/>
    <w:lvl w:ilvl="0" w:tentative="0">
      <w:start w:val="1"/>
      <w:numFmt w:val="japaneseCounting"/>
      <w:lvlText w:val="第%1章"/>
      <w:lvlJc w:val="left"/>
      <w:pPr>
        <w:tabs>
          <w:tab w:val="left" w:pos="1737"/>
        </w:tabs>
        <w:ind w:left="1737" w:hanging="855"/>
      </w:pPr>
      <w:rPr>
        <w:rFonts w:hint="eastAsia"/>
      </w:rPr>
    </w:lvl>
    <w:lvl w:ilvl="1" w:tentative="0">
      <w:start w:val="1"/>
      <w:numFmt w:val="lowerLetter"/>
      <w:lvlText w:val="%2)"/>
      <w:lvlJc w:val="left"/>
      <w:pPr>
        <w:tabs>
          <w:tab w:val="left" w:pos="1722"/>
        </w:tabs>
        <w:ind w:left="1722" w:hanging="420"/>
      </w:pPr>
    </w:lvl>
    <w:lvl w:ilvl="2" w:tentative="0">
      <w:start w:val="1"/>
      <w:numFmt w:val="decimal"/>
      <w:lvlText w:val="%3）"/>
      <w:lvlJc w:val="left"/>
      <w:pPr>
        <w:tabs>
          <w:tab w:val="left" w:pos="2442"/>
        </w:tabs>
        <w:ind w:left="2442" w:hanging="720"/>
      </w:pPr>
      <w:rPr>
        <w:rFonts w:hint="eastAsia" w:ascii="Arial" w:hAnsi="Arial" w:cs="Arial"/>
      </w:rPr>
    </w:lvl>
    <w:lvl w:ilvl="3" w:tentative="0">
      <w:start w:val="1"/>
      <w:numFmt w:val="lowerLetter"/>
      <w:lvlText w:val="%4)"/>
      <w:lvlJc w:val="left"/>
      <w:pPr>
        <w:tabs>
          <w:tab w:val="left" w:pos="2562"/>
        </w:tabs>
        <w:ind w:left="2562" w:hanging="420"/>
      </w:pPr>
      <w:rPr>
        <w:rFonts w:hint="eastAsia"/>
      </w:rPr>
    </w:lvl>
    <w:lvl w:ilvl="4" w:tentative="0">
      <w:start w:val="16"/>
      <w:numFmt w:val="decimal"/>
      <w:lvlText w:val="%5."/>
      <w:lvlJc w:val="left"/>
      <w:pPr>
        <w:tabs>
          <w:tab w:val="left" w:pos="2922"/>
        </w:tabs>
        <w:ind w:left="2922" w:hanging="360"/>
      </w:pPr>
      <w:rPr>
        <w:rFonts w:hint="default"/>
      </w:rPr>
    </w:lvl>
    <w:lvl w:ilvl="5" w:tentative="0">
      <w:start w:val="1"/>
      <w:numFmt w:val="lowerRoman"/>
      <w:lvlText w:val="%6."/>
      <w:lvlJc w:val="right"/>
      <w:pPr>
        <w:tabs>
          <w:tab w:val="left" w:pos="3402"/>
        </w:tabs>
        <w:ind w:left="3402" w:hanging="420"/>
      </w:pPr>
    </w:lvl>
    <w:lvl w:ilvl="6" w:tentative="0">
      <w:start w:val="1"/>
      <w:numFmt w:val="decimal"/>
      <w:lvlText w:val="%7."/>
      <w:lvlJc w:val="left"/>
      <w:pPr>
        <w:tabs>
          <w:tab w:val="left" w:pos="3822"/>
        </w:tabs>
        <w:ind w:left="3822" w:hanging="420"/>
      </w:pPr>
    </w:lvl>
    <w:lvl w:ilvl="7" w:tentative="0">
      <w:start w:val="1"/>
      <w:numFmt w:val="lowerLetter"/>
      <w:lvlText w:val="%8)"/>
      <w:lvlJc w:val="left"/>
      <w:pPr>
        <w:tabs>
          <w:tab w:val="left" w:pos="4242"/>
        </w:tabs>
        <w:ind w:left="4242" w:hanging="420"/>
      </w:pPr>
    </w:lvl>
    <w:lvl w:ilvl="8" w:tentative="0">
      <w:start w:val="1"/>
      <w:numFmt w:val="lowerRoman"/>
      <w:lvlText w:val="%9."/>
      <w:lvlJc w:val="right"/>
      <w:pPr>
        <w:tabs>
          <w:tab w:val="left" w:pos="4662"/>
        </w:tabs>
        <w:ind w:left="4662" w:hanging="420"/>
      </w:pPr>
    </w:lvl>
  </w:abstractNum>
  <w:abstractNum w:abstractNumId="2">
    <w:nsid w:val="62407847"/>
    <w:multiLevelType w:val="multilevel"/>
    <w:tmpl w:val="62407847"/>
    <w:lvl w:ilvl="0" w:tentative="0">
      <w:start w:val="8"/>
      <w:numFmt w:val="decimal"/>
      <w:pStyle w:val="5"/>
      <w:lvlText w:val="%1."/>
      <w:lvlJc w:val="left"/>
      <w:pPr>
        <w:tabs>
          <w:tab w:val="left" w:pos="1134"/>
        </w:tabs>
        <w:ind w:left="1134" w:hanging="1134"/>
      </w:pPr>
      <w:rPr>
        <w:rFonts w:hint="eastAsia" w:ascii="宋体" w:eastAsia="宋体"/>
        <w:b/>
        <w:i w:val="0"/>
        <w:sz w:val="24"/>
      </w:rPr>
    </w:lvl>
    <w:lvl w:ilvl="1" w:tentative="0">
      <w:start w:val="5"/>
      <w:numFmt w:val="decimal"/>
      <w:lvlText w:val="%1.%2"/>
      <w:lvlJc w:val="left"/>
      <w:pPr>
        <w:tabs>
          <w:tab w:val="left" w:pos="1134"/>
        </w:tabs>
        <w:ind w:left="1134" w:hanging="1134"/>
      </w:pPr>
      <w:rPr>
        <w:rFonts w:hint="eastAsia" w:ascii="宋体" w:eastAsia="宋体"/>
        <w:b w:val="0"/>
        <w:i w:val="0"/>
        <w:sz w:val="24"/>
      </w:rPr>
    </w:lvl>
    <w:lvl w:ilvl="2" w:tentative="0">
      <w:start w:val="1"/>
      <w:numFmt w:val="decimal"/>
      <w:lvlText w:val="10.4.%3"/>
      <w:lvlJc w:val="left"/>
      <w:pPr>
        <w:tabs>
          <w:tab w:val="left" w:pos="1134"/>
        </w:tabs>
        <w:ind w:left="1134" w:hanging="1134"/>
      </w:pPr>
      <w:rPr>
        <w:rFonts w:hint="eastAsia" w:ascii="宋体" w:eastAsia="宋体"/>
        <w:b w:val="0"/>
        <w:i w:val="0"/>
        <w:sz w:val="24"/>
        <w:szCs w:val="24"/>
      </w:rPr>
    </w:lvl>
    <w:lvl w:ilvl="3" w:tentative="0">
      <w:start w:val="1"/>
      <w:numFmt w:val="decimal"/>
      <w:lvlText w:val="%1.%2.%3.%4"/>
      <w:lvlJc w:val="left"/>
      <w:pPr>
        <w:tabs>
          <w:tab w:val="left" w:pos="1134"/>
        </w:tabs>
        <w:ind w:left="1134" w:hanging="1134"/>
      </w:pPr>
      <w:rPr>
        <w:rFonts w:hint="eastAsia" w:ascii="宋体" w:eastAsia="宋体"/>
        <w:b w:val="0"/>
        <w:i w:val="0"/>
        <w:sz w:val="24"/>
      </w:rPr>
    </w:lvl>
    <w:lvl w:ilvl="4" w:tentative="0">
      <w:start w:val="1"/>
      <w:numFmt w:val="decimal"/>
      <w:lvlText w:val="%1.%2.%3.%4.%5"/>
      <w:lvlJc w:val="left"/>
      <w:pPr>
        <w:tabs>
          <w:tab w:val="left" w:pos="1134"/>
        </w:tabs>
        <w:ind w:left="1134" w:hanging="1134"/>
      </w:pPr>
      <w:rPr>
        <w:rFonts w:hint="eastAsia" w:ascii="宋体" w:eastAsia="宋体"/>
        <w:b w:val="0"/>
        <w:i w:val="0"/>
        <w:sz w:val="24"/>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mNzk2OTM0MzYwNTUzOTA5OTQ0MjBlMjRiODg1MWQifQ=="/>
  </w:docVars>
  <w:rsids>
    <w:rsidRoot w:val="00000000"/>
    <w:rsid w:val="1ED31BA4"/>
    <w:rsid w:val="1FDB3A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Lines/>
      <w:spacing w:before="120" w:beforeLines="50" w:line="520" w:lineRule="exact"/>
      <w:jc w:val="center"/>
      <w:outlineLvl w:val="0"/>
    </w:pPr>
    <w:rPr>
      <w:b/>
      <w:bCs/>
      <w:kern w:val="44"/>
      <w:sz w:val="32"/>
      <w:szCs w:val="32"/>
    </w:rPr>
  </w:style>
  <w:style w:type="paragraph" w:styleId="4">
    <w:name w:val="heading 2"/>
    <w:basedOn w:val="1"/>
    <w:next w:val="1"/>
    <w:qFormat/>
    <w:uiPriority w:val="0"/>
    <w:pPr>
      <w:keepNext/>
      <w:keepLines/>
      <w:spacing w:line="520" w:lineRule="exact"/>
      <w:jc w:val="center"/>
      <w:outlineLvl w:val="1"/>
    </w:pPr>
    <w:rPr>
      <w:rFonts w:ascii="宋体" w:hAnsi="宋体"/>
      <w:b/>
      <w:bCs/>
      <w:sz w:val="24"/>
    </w:rPr>
  </w:style>
  <w:style w:type="paragraph" w:styleId="5">
    <w:name w:val="heading 3"/>
    <w:basedOn w:val="1"/>
    <w:next w:val="1"/>
    <w:qFormat/>
    <w:uiPriority w:val="0"/>
    <w:pPr>
      <w:keepNext/>
      <w:keepLines/>
      <w:numPr>
        <w:ilvl w:val="0"/>
        <w:numId w:val="1"/>
      </w:numPr>
      <w:spacing w:before="120" w:after="120" w:line="300" w:lineRule="auto"/>
      <w:outlineLvl w:val="2"/>
    </w:pPr>
    <w:rPr>
      <w:rFonts w:ascii="宋体"/>
      <w:b/>
      <w:bCs/>
      <w:sz w:val="24"/>
      <w:szCs w:val="32"/>
    </w:rPr>
  </w:style>
  <w:style w:type="character" w:default="1" w:styleId="13">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2">
    <w:name w:val="header"/>
    <w:basedOn w:val="1"/>
    <w:next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text"/>
    <w:basedOn w:val="1"/>
    <w:semiHidden/>
    <w:qFormat/>
    <w:uiPriority w:val="99"/>
    <w:pPr>
      <w:jc w:val="left"/>
    </w:pPr>
    <w:rPr>
      <w:rFonts w:asciiTheme="minorHAnsi" w:hAnsiTheme="minorHAnsi" w:eastAsiaTheme="minorEastAsia" w:cstheme="minorBidi"/>
    </w:rPr>
  </w:style>
  <w:style w:type="paragraph" w:styleId="7">
    <w:name w:val="Body Text"/>
    <w:basedOn w:val="1"/>
    <w:qFormat/>
    <w:uiPriority w:val="0"/>
    <w:rPr>
      <w:rFonts w:asciiTheme="minorHAnsi" w:hAnsiTheme="minorHAnsi" w:eastAsiaTheme="minorEastAsia" w:cstheme="minorBidi"/>
      <w:sz w:val="24"/>
    </w:rPr>
  </w:style>
  <w:style w:type="paragraph" w:styleId="8">
    <w:name w:val="Plain Text"/>
    <w:basedOn w:val="1"/>
    <w:qFormat/>
    <w:uiPriority w:val="0"/>
    <w:rPr>
      <w:rFonts w:ascii="宋体" w:hAnsi="Courier New"/>
      <w:kern w:val="10"/>
      <w:szCs w:val="21"/>
    </w:r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99"/>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Table Paragraph"/>
    <w:basedOn w:val="1"/>
    <w:qFormat/>
    <w:uiPriority w:val="1"/>
    <w:pPr>
      <w:jc w:val="left"/>
    </w:pPr>
    <w:rPr>
      <w:kern w:val="0"/>
      <w:sz w:val="22"/>
      <w:szCs w:val="22"/>
      <w:lang w:eastAsia="en-US"/>
    </w:rPr>
  </w:style>
  <w:style w:type="paragraph" w:customStyle="1" w:styleId="1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6">
    <w:name w:val="样式1"/>
    <w:basedOn w:val="5"/>
    <w:qFormat/>
    <w:uiPriority w:val="0"/>
    <w:pPr>
      <w:numPr>
        <w:ilvl w:val="0"/>
        <w:numId w:val="2"/>
      </w:numPr>
      <w:spacing w:line="560" w:lineRule="exact"/>
    </w:pPr>
    <w:rPr>
      <w:rFonts w:hAnsi="宋体" w:cs="Arial"/>
      <w:kern w:val="0"/>
    </w:rPr>
  </w:style>
  <w:style w:type="paragraph" w:customStyle="1" w:styleId="17">
    <w:name w:val="表格图文"/>
    <w:basedOn w:val="1"/>
    <w:qFormat/>
    <w:uiPriority w:val="0"/>
    <w:rPr>
      <w:szCs w:val="20"/>
    </w:rPr>
  </w:style>
  <w:style w:type="paragraph" w:customStyle="1" w:styleId="18">
    <w:name w:val="表格文字"/>
    <w:basedOn w:val="1"/>
    <w:next w:val="1"/>
    <w:qFormat/>
    <w:uiPriority w:val="0"/>
  </w:style>
  <w:style w:type="paragraph" w:styleId="19">
    <w:name w:val="List Paragraph"/>
    <w:basedOn w:val="1"/>
    <w:qFormat/>
    <w:uiPriority w:val="34"/>
    <w:pPr>
      <w:ind w:firstLine="420" w:firstLineChars="200"/>
    </w:pPr>
  </w:style>
  <w:style w:type="table" w:customStyle="1" w:styleId="20">
    <w:name w:val="Table Normal"/>
    <w:qFormat/>
    <w:uiPriority w:val="0"/>
    <w:rPr>
      <w:rFonts w:ascii="Times New Roman" w:hAnsi="Times New Roman" w:eastAsia="Arial Unicode MS" w:cs="Times New Roman"/>
      <w:kern w:val="0"/>
      <w:sz w:val="20"/>
      <w:szCs w:val="20"/>
      <w:lang w:bidi="he-IL"/>
    </w:rPr>
    <w:tblPr>
      <w:tblCellMar>
        <w:top w:w="0" w:type="dxa"/>
        <w:left w:w="0" w:type="dxa"/>
        <w:bottom w:w="0" w:type="dxa"/>
        <w:right w:w="0" w:type="dxa"/>
      </w:tblCellMar>
    </w:tblPr>
  </w:style>
  <w:style w:type="paragraph" w:customStyle="1" w:styleId="21">
    <w:name w:val="正文 A"/>
    <w:qFormat/>
    <w:uiPriority w:val="0"/>
    <w:pPr>
      <w:widowControl w:val="0"/>
      <w:jc w:val="both"/>
    </w:pPr>
    <w:rPr>
      <w:rFonts w:ascii="Times New Roman" w:hAnsi="Arial Unicode MS" w:eastAsia="Arial Unicode MS" w:cs="Arial Unicode MS"/>
      <w:color w:val="000000"/>
      <w:kern w:val="2"/>
      <w:sz w:val="21"/>
      <w:szCs w:val="21"/>
      <w:u w:color="000000"/>
      <w:lang w:val="en-US" w:eastAsia="zh-CN" w:bidi="he-IL"/>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8656</Words>
  <Characters>9297</Characters>
  <Lines>0</Lines>
  <Paragraphs>0</Paragraphs>
  <TotalTime>0</TotalTime>
  <ScaleCrop>false</ScaleCrop>
  <LinksUpToDate>false</LinksUpToDate>
  <CharactersWithSpaces>9913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2023-04-20T01:35:00Z</dcterms:created>
  <dc:creator>Administrator</dc:creator>
  <cp:lastModifiedBy>shaoqi</cp:lastModifiedBy>
  <dcterms:modified xsi:type="dcterms:W3CDTF">2023-04-27T00:59:51Z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BAE35A86DB144E54849DA99A79E5E517_12</vt:lpwstr>
  </property>
</Properties>
</file>