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4"/>
        <w:tabs>
          <w:tab w:val="left" w:pos="2520"/>
        </w:tabs>
        <w:spacing w:line="500" w:lineRule="exact"/>
        <w:rPr>
          <w:rFonts w:hAnsi="宋体" w:cs="宋体"/>
          <w:sz w:val="28"/>
          <w:szCs w:val="28"/>
        </w:rPr>
      </w:pPr>
    </w:p>
    <w:p>
      <w:pPr>
        <w:pStyle w:val="4"/>
        <w:tabs>
          <w:tab w:val="left" w:pos="2520"/>
        </w:tabs>
        <w:spacing w:line="500" w:lineRule="exact"/>
        <w:jc w:val="center"/>
        <w:rPr>
          <w:rFonts w:hAnsi="宋体" w:cs="宋体"/>
          <w:spacing w:val="14"/>
          <w:sz w:val="48"/>
          <w:szCs w:val="48"/>
        </w:rPr>
      </w:pPr>
    </w:p>
    <w:p>
      <w:pPr>
        <w:pStyle w:val="4"/>
        <w:tabs>
          <w:tab w:val="left" w:pos="2520"/>
        </w:tabs>
        <w:spacing w:line="900" w:lineRule="exact"/>
        <w:jc w:val="center"/>
        <w:rPr>
          <w:rFonts w:hAnsi="宋体" w:cs="宋体"/>
          <w:b/>
          <w:sz w:val="84"/>
          <w:szCs w:val="84"/>
        </w:rPr>
      </w:pPr>
      <w:r>
        <w:rPr>
          <w:rFonts w:hint="eastAsia" w:ascii="宋体" w:hAnsi="宋体" w:cs="宋体"/>
          <w:b/>
          <w:bCs/>
          <w:color w:val="000000"/>
          <w:kern w:val="0"/>
          <w:sz w:val="84"/>
          <w:szCs w:val="84"/>
        </w:rPr>
        <w:t>竞争性谈判文件</w:t>
      </w:r>
    </w:p>
    <w:p>
      <w:pPr>
        <w:pStyle w:val="4"/>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723" w:firstLineChars="200"/>
        <w:rPr>
          <w:rFonts w:hint="eastAsia" w:ascii="宋体" w:hAnsi="宋体" w:eastAsia="宋体" w:cs="宋体"/>
          <w:b/>
          <w:sz w:val="36"/>
          <w:szCs w:val="36"/>
          <w:lang w:val="en-US" w:eastAsia="zh-CN"/>
        </w:rPr>
      </w:pPr>
      <w:r>
        <w:rPr>
          <w:rFonts w:hint="eastAsia" w:ascii="宋体" w:hAnsi="宋体" w:cs="宋体"/>
          <w:b/>
          <w:sz w:val="36"/>
          <w:szCs w:val="36"/>
        </w:rPr>
        <w:t>项目名称：黄石市中心医院多学科配置防盗和监控报警设施采购项目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三</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9"/>
        <w:rPr>
          <w:rFonts w:ascii="宋体" w:hAnsi="宋体" w:cs="宋体"/>
        </w:rPr>
      </w:pPr>
      <w:bookmarkStart w:id="0" w:name="_Toc528494262"/>
      <w:bookmarkStart w:id="1" w:name="_Toc528493163"/>
      <w:bookmarkStart w:id="2" w:name="_Toc528493082"/>
      <w:bookmarkStart w:id="3" w:name="_Toc528493563"/>
      <w:bookmarkStart w:id="4" w:name="_Toc528493130"/>
      <w:r>
        <w:rPr>
          <w:rFonts w:hint="eastAsia" w:ascii="宋体" w:hAnsi="宋体" w:cs="宋体"/>
        </w:rPr>
        <w:t xml:space="preserve">第一章  </w:t>
      </w:r>
      <w:r>
        <w:rPr>
          <w:rFonts w:hint="eastAsia" w:ascii="宋体" w:hAnsi="宋体" w:cs="宋体"/>
          <w:lang w:val="en-US" w:eastAsia="zh-CN"/>
        </w:rPr>
        <w:t>谈判</w:t>
      </w:r>
      <w:r>
        <w:rPr>
          <w:rFonts w:hint="eastAsia" w:ascii="宋体" w:hAnsi="宋体" w:cs="宋体"/>
        </w:rPr>
        <w:t>邀请函</w:t>
      </w:r>
      <w:bookmarkEnd w:id="0"/>
      <w:bookmarkEnd w:id="1"/>
      <w:bookmarkEnd w:id="2"/>
      <w:bookmarkEnd w:id="3"/>
      <w:bookmarkEnd w:id="4"/>
      <w:bookmarkStart w:id="5" w:name="_Toc35393791"/>
      <w:bookmarkStart w:id="6" w:name="_Toc28359003"/>
      <w:bookmarkStart w:id="7" w:name="_Toc35393622"/>
      <w:bookmarkStart w:id="8" w:name="_Toc28359080"/>
    </w:p>
    <w:p>
      <w:pPr>
        <w:pStyle w:val="9"/>
        <w:ind w:firstLine="720" w:firstLineChars="300"/>
        <w:jc w:val="left"/>
        <w:rPr>
          <w:rFonts w:ascii="宋体" w:cs="宋体"/>
          <w:b w:val="0"/>
          <w:bCs w:val="0"/>
          <w:sz w:val="24"/>
          <w:lang w:val="zh-CN"/>
        </w:rPr>
      </w:pPr>
      <w:r>
        <w:rPr>
          <w:rFonts w:hint="eastAsia" w:ascii="宋体" w:hAnsi="宋体" w:cs="宋体"/>
          <w:b w:val="0"/>
          <w:bCs w:val="0"/>
          <w:sz w:val="24"/>
          <w:szCs w:val="20"/>
          <w:lang w:val="zh-CN"/>
        </w:rPr>
        <w:t>根据黄石市中心医院的需求，就黄石市中心医院多学科配置防盗和监控报警设施采购项目</w:t>
      </w:r>
      <w:r>
        <w:rPr>
          <w:rFonts w:hint="eastAsia" w:ascii="宋体" w:hAnsi="宋体" w:cs="宋体"/>
          <w:b w:val="0"/>
          <w:bCs w:val="0"/>
          <w:sz w:val="24"/>
          <w:lang w:val="zh-CN"/>
        </w:rPr>
        <w:t>以竞争性</w:t>
      </w:r>
      <w:r>
        <w:rPr>
          <w:rFonts w:hint="eastAsia" w:ascii="宋体" w:hAnsi="宋体" w:cs="宋体"/>
          <w:b w:val="0"/>
          <w:bCs w:val="0"/>
          <w:sz w:val="24"/>
          <w:lang w:val="en-US" w:eastAsia="zh-CN"/>
        </w:rPr>
        <w:t>谈判</w:t>
      </w:r>
      <w:r>
        <w:rPr>
          <w:rFonts w:hint="eastAsia" w:ascii="宋体" w:hAnsi="宋体" w:cs="宋体"/>
          <w:b w:val="0"/>
          <w:bCs w:val="0"/>
          <w:sz w:val="24"/>
          <w:lang w:val="zh-CN"/>
        </w:rPr>
        <w:t>方式进行采购</w:t>
      </w:r>
      <w:r>
        <w:rPr>
          <w:rFonts w:hint="eastAsia" w:ascii="宋体" w:hAnsi="宋体" w:cs="宋体"/>
          <w:b w:val="0"/>
          <w:bCs w:val="0"/>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623"/>
      <w:bookmarkStart w:id="10" w:name="_Toc28359004"/>
      <w:bookmarkStart w:id="11" w:name="_Toc35393792"/>
      <w:bookmarkStart w:id="12" w:name="_Toc28359081"/>
      <w:r>
        <w:rPr>
          <w:rFonts w:hint="eastAsia" w:ascii="宋体" w:hAnsi="宋体" w:cs="宋体"/>
          <w:b/>
          <w:bCs/>
          <w:sz w:val="24"/>
        </w:rPr>
        <w:t>一、项目内容：</w:t>
      </w:r>
    </w:p>
    <w:p>
      <w:pPr>
        <w:spacing w:line="42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项目名称：黄石市中心医院多学科配置防盗和监控报警设施采购项目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6.5</w:t>
      </w:r>
      <w:r>
        <w:rPr>
          <w:rFonts w:hint="eastAsia" w:ascii="宋体" w:hAnsi="宋体" w:cs="宋体"/>
          <w:sz w:val="24"/>
        </w:rPr>
        <w:t>万元</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质保期</w:t>
      </w:r>
      <w:r>
        <w:rPr>
          <w:rFonts w:hint="eastAsia" w:ascii="宋体" w:hAnsi="宋体" w:cs="宋体"/>
          <w:sz w:val="24"/>
        </w:rPr>
        <w:t>：</w:t>
      </w:r>
      <w:r>
        <w:rPr>
          <w:rFonts w:hint="eastAsia" w:ascii="宋体" w:hAnsi="宋体" w:cs="宋体"/>
          <w:sz w:val="24"/>
          <w:lang w:val="en-US" w:eastAsia="zh-CN"/>
        </w:rPr>
        <w:t>不低于2年</w:t>
      </w:r>
    </w:p>
    <w:p>
      <w:pPr>
        <w:spacing w:line="420" w:lineRule="exact"/>
        <w:ind w:firstLine="480" w:firstLineChars="200"/>
        <w:rPr>
          <w:rFonts w:ascii="宋体" w:hAnsi="宋体" w:cs="宋体"/>
          <w:sz w:val="24"/>
          <w:szCs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服务</w:t>
      </w:r>
      <w:r>
        <w:rPr>
          <w:rFonts w:hint="eastAsia" w:ascii="宋体" w:hAnsi="宋体" w:cs="宋体"/>
          <w:sz w:val="24"/>
          <w:szCs w:val="24"/>
        </w:rPr>
        <w:t>地点：黄石市中心医院指定地点</w:t>
      </w:r>
    </w:p>
    <w:p>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hint="eastAsia"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28359007"/>
      <w:bookmarkStart w:id="15" w:name="_Toc3539379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highlight w:val="yellow"/>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hint="eastAsia" w:ascii="宋体" w:hAnsi="宋体" w:cs="宋体"/>
          <w:sz w:val="24"/>
          <w:highlight w:val="yellow"/>
        </w:rPr>
        <w:t>：</w:t>
      </w:r>
      <w:r>
        <w:rPr>
          <w:rFonts w:ascii="宋体" w:hAnsi="宋体" w:cs="宋体"/>
          <w:sz w:val="24"/>
          <w:highlight w:val="yellow"/>
        </w:rPr>
        <w:t>202</w:t>
      </w:r>
      <w:r>
        <w:rPr>
          <w:rFonts w:hint="eastAsia" w:ascii="宋体" w:hAnsi="宋体" w:cs="宋体"/>
          <w:sz w:val="24"/>
          <w:highlight w:val="yellow"/>
        </w:rPr>
        <w:t>4</w:t>
      </w:r>
      <w:r>
        <w:rPr>
          <w:rFonts w:ascii="宋体" w:hAnsi="宋体" w:cs="宋体"/>
          <w:sz w:val="24"/>
          <w:highlight w:val="yellow"/>
        </w:rPr>
        <w:t>年</w:t>
      </w:r>
      <w:r>
        <w:rPr>
          <w:rFonts w:hint="eastAsia" w:ascii="宋体" w:hAnsi="宋体" w:cs="宋体"/>
          <w:sz w:val="24"/>
          <w:highlight w:val="yellow"/>
          <w:lang w:val="en-US" w:eastAsia="zh-CN"/>
        </w:rPr>
        <w:t xml:space="preserve"> 4 </w:t>
      </w:r>
      <w:r>
        <w:rPr>
          <w:rFonts w:ascii="宋体" w:hAnsi="宋体" w:cs="宋体"/>
          <w:sz w:val="24"/>
          <w:highlight w:val="yellow"/>
        </w:rPr>
        <w:t>月</w:t>
      </w:r>
      <w:r>
        <w:rPr>
          <w:rFonts w:hint="eastAsia" w:ascii="宋体" w:hAnsi="宋体" w:cs="宋体"/>
          <w:sz w:val="24"/>
          <w:highlight w:val="yellow"/>
          <w:lang w:val="en-US" w:eastAsia="zh-CN"/>
        </w:rPr>
        <w:t>1</w:t>
      </w:r>
      <w:r>
        <w:rPr>
          <w:rFonts w:ascii="宋体" w:hAnsi="宋体" w:cs="宋体"/>
          <w:sz w:val="24"/>
          <w:highlight w:val="yellow"/>
        </w:rPr>
        <w:t>日</w:t>
      </w:r>
      <w:r>
        <w:rPr>
          <w:rFonts w:hint="eastAsia" w:ascii="宋体" w:hAnsi="宋体" w:cs="宋体"/>
          <w:sz w:val="24"/>
          <w:highlight w:val="yellow"/>
        </w:rPr>
        <w:t>-</w:t>
      </w:r>
      <w:r>
        <w:rPr>
          <w:rFonts w:ascii="宋体" w:hAnsi="宋体" w:cs="宋体"/>
          <w:sz w:val="24"/>
          <w:highlight w:val="yellow"/>
        </w:rPr>
        <w:t>20</w:t>
      </w:r>
      <w:r>
        <w:rPr>
          <w:rFonts w:hint="eastAsia" w:ascii="宋体" w:hAnsi="宋体" w:cs="宋体"/>
          <w:sz w:val="24"/>
          <w:highlight w:val="yellow"/>
        </w:rPr>
        <w:t>24年</w:t>
      </w:r>
      <w:r>
        <w:rPr>
          <w:rFonts w:hint="eastAsia" w:ascii="宋体" w:hAnsi="宋体" w:cs="宋体"/>
          <w:sz w:val="24"/>
          <w:highlight w:val="yellow"/>
          <w:lang w:val="en-US" w:eastAsia="zh-CN"/>
        </w:rPr>
        <w:t xml:space="preserve"> 4</w:t>
      </w:r>
      <w:r>
        <w:rPr>
          <w:rFonts w:hint="eastAsia" w:ascii="宋体" w:hAnsi="宋体" w:cs="宋体"/>
          <w:sz w:val="24"/>
          <w:highlight w:val="yellow"/>
        </w:rPr>
        <w:t>月</w:t>
      </w:r>
      <w:r>
        <w:rPr>
          <w:rFonts w:hint="eastAsia" w:ascii="宋体" w:hAnsi="宋体" w:cs="宋体"/>
          <w:sz w:val="24"/>
          <w:highlight w:val="yellow"/>
          <w:lang w:val="en-US" w:eastAsia="zh-CN"/>
        </w:rPr>
        <w:t>8</w:t>
      </w:r>
      <w:r>
        <w:rPr>
          <w:rFonts w:hint="eastAsia" w:ascii="宋体" w:hAnsi="宋体" w:cs="宋体"/>
          <w:sz w:val="24"/>
          <w:highlight w:val="yellow"/>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w:t>
      </w:r>
      <w:r>
        <w:rPr>
          <w:rFonts w:hint="eastAsia" w:ascii="宋体" w:hAnsi="宋体" w:cs="宋体"/>
          <w:sz w:val="24"/>
          <w:lang w:val="en-US" w:eastAsia="zh-CN"/>
        </w:rPr>
        <w:t>谈判</w:t>
      </w:r>
      <w:r>
        <w:rPr>
          <w:rFonts w:hint="eastAsia" w:ascii="宋体" w:hAnsi="宋体" w:cs="宋体"/>
          <w:sz w:val="24"/>
        </w:rPr>
        <w:t>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083"/>
      <w:bookmarkStart w:id="18" w:name="_Toc528493131"/>
      <w:bookmarkStart w:id="19" w:name="_Toc528494275"/>
      <w:bookmarkStart w:id="20" w:name="_Toc528493576"/>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报名成功后</w:t>
      </w:r>
      <w:r>
        <w:rPr>
          <w:rFonts w:hint="eastAsia" w:ascii="宋体" w:hAnsi="宋体" w:cs="宋体"/>
          <w:sz w:val="24"/>
        </w:rPr>
        <w:t>另行通知</w:t>
      </w:r>
    </w:p>
    <w:p>
      <w:pPr>
        <w:spacing w:line="420" w:lineRule="exact"/>
        <w:ind w:firstLine="420" w:firstLineChars="200"/>
        <w:rPr>
          <w:rFonts w:ascii="宋体" w:hAnsi="宋体" w:cs="宋体"/>
        </w:rPr>
      </w:pPr>
    </w:p>
    <w:p>
      <w:pPr>
        <w:spacing w:line="420" w:lineRule="exact"/>
        <w:ind w:firstLine="420" w:firstLineChars="200"/>
        <w:rPr>
          <w:rFonts w:ascii="宋体" w:hAnsi="宋体" w:cs="宋体"/>
        </w:rPr>
      </w:pPr>
    </w:p>
    <w:p>
      <w:pPr>
        <w:pStyle w:val="9"/>
        <w:rPr>
          <w:rFonts w:hint="eastAsia" w:ascii="宋体" w:hAnsi="宋体" w:cs="宋体"/>
        </w:rPr>
      </w:pPr>
    </w:p>
    <w:p>
      <w:pPr>
        <w:pStyle w:val="9"/>
        <w:rPr>
          <w:rFonts w:ascii="宋体" w:hAnsi="宋体" w:cs="宋体"/>
        </w:rPr>
      </w:pPr>
      <w:r>
        <w:rPr>
          <w:rFonts w:hint="eastAsia" w:ascii="宋体" w:hAnsi="宋体" w:cs="宋体"/>
        </w:rPr>
        <w:t xml:space="preserve">第二章  </w:t>
      </w:r>
      <w:r>
        <w:rPr>
          <w:rFonts w:hint="eastAsia" w:ascii="宋体" w:hAnsi="宋体"/>
        </w:rPr>
        <w:t>竞争性</w:t>
      </w:r>
      <w:r>
        <w:rPr>
          <w:rFonts w:hint="eastAsia" w:ascii="宋体" w:hAnsi="宋体"/>
          <w:lang w:val="en-US" w:eastAsia="zh-CN"/>
        </w:rPr>
        <w:t>谈判</w:t>
      </w:r>
      <w:r>
        <w:rPr>
          <w:rFonts w:hint="eastAsia" w:ascii="宋体" w:hAnsi="宋体" w:cs="宋体"/>
        </w:rPr>
        <w:t>须知</w:t>
      </w:r>
      <w:bookmarkEnd w:id="17"/>
      <w:bookmarkEnd w:id="18"/>
      <w:bookmarkEnd w:id="19"/>
      <w:bookmarkEnd w:id="20"/>
      <w:bookmarkEnd w:id="21"/>
    </w:p>
    <w:p>
      <w:pPr>
        <w:widowControl/>
        <w:spacing w:line="360" w:lineRule="auto"/>
        <w:ind w:firstLine="482" w:firstLineChars="200"/>
        <w:jc w:val="left"/>
        <w:outlineLvl w:val="2"/>
        <w:rPr>
          <w:rFonts w:hint="eastAsia" w:ascii="宋体" w:hAnsi="宋体" w:cs="宋体"/>
          <w:b/>
          <w:kern w:val="0"/>
          <w:sz w:val="24"/>
        </w:rPr>
      </w:pPr>
      <w:bookmarkStart w:id="22" w:name="_Toc44855424"/>
      <w:bookmarkStart w:id="23" w:name="_Toc46764847"/>
      <w:bookmarkStart w:id="24" w:name="_Toc44692118"/>
      <w:bookmarkStart w:id="25" w:name="_Toc46744893"/>
      <w:bookmarkStart w:id="26" w:name="_Toc22342"/>
      <w:bookmarkStart w:id="27" w:name="_Toc528493086"/>
      <w:bookmarkStart w:id="28" w:name="_Toc528493134"/>
      <w:bookmarkStart w:id="29" w:name="_Toc528493579"/>
      <w:bookmarkStart w:id="30" w:name="_Toc528493167"/>
      <w:bookmarkStart w:id="31" w:name="_Toc528494285"/>
      <w:r>
        <w:rPr>
          <w:rFonts w:hint="eastAsia" w:ascii="宋体" w:hAnsi="宋体" w:cs="宋体"/>
          <w:b/>
          <w:kern w:val="0"/>
          <w:sz w:val="24"/>
        </w:rPr>
        <w:t>（一）总则</w:t>
      </w:r>
      <w:bookmarkEnd w:id="22"/>
      <w:bookmarkEnd w:id="23"/>
      <w:bookmarkEnd w:id="24"/>
      <w:bookmarkEnd w:id="25"/>
      <w:bookmarkEnd w:id="26"/>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1.适用范围</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2.定义</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3.</w:t>
      </w:r>
      <w:r>
        <w:rPr>
          <w:rFonts w:hint="eastAsia" w:hAnsi="宋体" w:eastAsia="宋体" w:cs="宋体"/>
          <w:color w:val="000000"/>
          <w:sz w:val="24"/>
          <w:szCs w:val="24"/>
          <w:highlight w:val="white"/>
        </w:rPr>
        <w:t>货物和服务</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4"/>
        <w:spacing w:line="360" w:lineRule="auto"/>
        <w:ind w:firstLine="480" w:firstLineChars="200"/>
        <w:contextualSpacing/>
        <w:rPr>
          <w:rFonts w:hint="eastAsia" w:hAnsi="宋体" w:eastAsia="宋体" w:cs="宋体"/>
          <w:color w:val="000000"/>
          <w:sz w:val="24"/>
          <w:szCs w:val="24"/>
          <w:highlight w:val="white"/>
        </w:rPr>
      </w:pPr>
      <w:r>
        <w:rPr>
          <w:rFonts w:hint="eastAsia" w:hAnsi="宋体" w:eastAsia="宋体" w:cs="宋体"/>
          <w:color w:val="000000"/>
          <w:sz w:val="24"/>
          <w:szCs w:val="24"/>
          <w:highlight w:val="white"/>
        </w:rPr>
        <w:t>（2）“服务”是指：除货物和工程以外的其他政府采购对象。包括：</w:t>
      </w:r>
      <w:r>
        <w:rPr>
          <w:rFonts w:hint="eastAsia" w:hAnsi="宋体" w:eastAsia="宋体" w:cs="宋体"/>
          <w:sz w:val="24"/>
          <w:szCs w:val="24"/>
          <w:highlight w:val="white"/>
        </w:rPr>
        <w:t>政府自身需要的服务和政府向社会公众提供的公共服务</w:t>
      </w:r>
      <w:r>
        <w:rPr>
          <w:rFonts w:hint="eastAsia" w:hAnsi="宋体" w:eastAsia="宋体" w:cs="宋体"/>
          <w:color w:val="000000"/>
          <w:sz w:val="24"/>
          <w:szCs w:val="24"/>
          <w:highlight w:val="white"/>
        </w:rPr>
        <w:t>。</w:t>
      </w:r>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4.谈判费用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hint="eastAsia" w:ascii="宋体" w:hAnsi="宋体" w:cs="宋体"/>
          <w:b/>
          <w:kern w:val="0"/>
          <w:sz w:val="24"/>
        </w:rPr>
      </w:pPr>
      <w:bookmarkStart w:id="32" w:name="_Toc456291270"/>
      <w:bookmarkStart w:id="33" w:name="_Toc456291250"/>
      <w:bookmarkStart w:id="34" w:name="_Toc462487361"/>
      <w:bookmarkStart w:id="35" w:name="_Toc456291527"/>
      <w:bookmarkStart w:id="36" w:name="_Toc46764848"/>
      <w:bookmarkStart w:id="37" w:name="_Toc456291155"/>
      <w:bookmarkStart w:id="38" w:name="_Toc456291344"/>
      <w:bookmarkStart w:id="39" w:name="_Toc44692119"/>
      <w:bookmarkStart w:id="40" w:name="_Toc46744894"/>
      <w:bookmarkStart w:id="41" w:name="_Toc770"/>
      <w:bookmarkStart w:id="42" w:name="_Toc44855425"/>
      <w:bookmarkStart w:id="43" w:name="_Toc456291469"/>
      <w:r>
        <w:rPr>
          <w:rFonts w:hint="eastAsia" w:ascii="宋体" w:hAnsi="宋体" w:cs="宋体"/>
          <w:b/>
          <w:kern w:val="0"/>
          <w:sz w:val="24"/>
        </w:rPr>
        <w:t>（二）竞争性谈判响应文件的编制</w:t>
      </w:r>
      <w:bookmarkEnd w:id="32"/>
      <w:bookmarkEnd w:id="33"/>
      <w:bookmarkEnd w:id="34"/>
      <w:bookmarkEnd w:id="35"/>
      <w:bookmarkEnd w:id="36"/>
      <w:bookmarkEnd w:id="37"/>
      <w:bookmarkEnd w:id="38"/>
      <w:bookmarkEnd w:id="39"/>
      <w:bookmarkEnd w:id="40"/>
      <w:bookmarkEnd w:id="41"/>
      <w:bookmarkEnd w:id="42"/>
      <w:bookmarkEnd w:id="43"/>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hint="eastAsia" w:ascii="宋体" w:hAnsi="宋体" w:cs="宋体"/>
          <w:b/>
          <w:kern w:val="0"/>
          <w:sz w:val="24"/>
        </w:rPr>
      </w:pPr>
      <w:bookmarkStart w:id="44" w:name="_Toc44692120"/>
      <w:bookmarkStart w:id="45" w:name="_Toc25940"/>
      <w:bookmarkStart w:id="46" w:name="_Toc456291470"/>
      <w:bookmarkStart w:id="47" w:name="_Toc44855426"/>
      <w:bookmarkStart w:id="48" w:name="_Toc46764849"/>
      <w:bookmarkStart w:id="49" w:name="_Toc462487362"/>
      <w:bookmarkStart w:id="50" w:name="_Toc456291528"/>
      <w:bookmarkStart w:id="51" w:name="_Toc456291271"/>
      <w:bookmarkStart w:id="52" w:name="_Toc456291345"/>
      <w:bookmarkStart w:id="53" w:name="_Toc456291251"/>
      <w:bookmarkStart w:id="54" w:name="_Toc456291156"/>
      <w:bookmarkStart w:id="55" w:name="_Toc46744895"/>
      <w:r>
        <w:rPr>
          <w:rFonts w:hint="eastAsia" w:ascii="宋体" w:hAnsi="宋体" w:cs="宋体"/>
          <w:b/>
          <w:kern w:val="0"/>
          <w:sz w:val="24"/>
        </w:rPr>
        <w:t>（三）竞争性谈判报价要求</w:t>
      </w:r>
      <w:bookmarkEnd w:id="44"/>
      <w:bookmarkEnd w:id="45"/>
      <w:bookmarkEnd w:id="46"/>
      <w:bookmarkEnd w:id="47"/>
      <w:bookmarkEnd w:id="48"/>
      <w:bookmarkEnd w:id="49"/>
      <w:bookmarkEnd w:id="50"/>
      <w:bookmarkEnd w:id="51"/>
      <w:bookmarkEnd w:id="52"/>
      <w:bookmarkEnd w:id="53"/>
      <w:bookmarkEnd w:id="54"/>
      <w:bookmarkEnd w:id="55"/>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3"/>
        <w:spacing w:line="360" w:lineRule="auto"/>
        <w:ind w:firstLine="480"/>
        <w:rPr>
          <w:rFonts w:hint="eastAsia" w:ascii="宋体" w:hAnsi="宋体" w:cs="宋体"/>
          <w:color w:val="000000"/>
          <w:sz w:val="24"/>
          <w:szCs w:val="24"/>
          <w:highlight w:val="white"/>
        </w:rPr>
      </w:pPr>
      <w:bookmarkStart w:id="56" w:name="_Toc456291471"/>
      <w:bookmarkStart w:id="57" w:name="_Toc456291157"/>
      <w:bookmarkStart w:id="58" w:name="_Toc456291529"/>
      <w:bookmarkStart w:id="59" w:name="_Toc456291252"/>
      <w:bookmarkStart w:id="60" w:name="_Toc456291346"/>
      <w:bookmarkStart w:id="61" w:name="_Toc456291272"/>
      <w:bookmarkStart w:id="62" w:name="_Toc462487363"/>
      <w:r>
        <w:rPr>
          <w:rFonts w:hint="eastAsia" w:ascii="宋体" w:hAnsi="宋体" w:cs="宋体"/>
          <w:color w:val="000000"/>
          <w:sz w:val="24"/>
          <w:szCs w:val="24"/>
          <w:highlight w:val="white"/>
        </w:rPr>
        <w:t>（1）谈判供应商所提供的服务均以人民币报价。</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hint="eastAsia" w:ascii="宋体" w:hAnsi="宋体" w:cs="宋体"/>
          <w:b/>
          <w:kern w:val="0"/>
          <w:sz w:val="24"/>
        </w:rPr>
      </w:pPr>
      <w:bookmarkStart w:id="63" w:name="_Toc4289"/>
      <w:bookmarkStart w:id="64" w:name="_Toc44692121"/>
      <w:bookmarkStart w:id="65" w:name="_Toc44855427"/>
      <w:bookmarkStart w:id="66" w:name="_Toc46744896"/>
      <w:bookmarkStart w:id="67" w:name="_Toc46764850"/>
      <w:r>
        <w:rPr>
          <w:rFonts w:hint="eastAsia" w:ascii="宋体" w:hAnsi="宋体" w:cs="宋体"/>
          <w:b/>
          <w:kern w:val="0"/>
          <w:sz w:val="24"/>
        </w:rPr>
        <w:t>（四）竞争性谈判响应文件的份数、封装和递交</w:t>
      </w:r>
      <w:bookmarkEnd w:id="56"/>
      <w:bookmarkEnd w:id="57"/>
      <w:bookmarkEnd w:id="58"/>
      <w:bookmarkEnd w:id="59"/>
      <w:bookmarkEnd w:id="60"/>
      <w:bookmarkEnd w:id="61"/>
      <w:bookmarkEnd w:id="62"/>
      <w:bookmarkEnd w:id="63"/>
      <w:bookmarkEnd w:id="64"/>
      <w:bookmarkEnd w:id="65"/>
      <w:bookmarkEnd w:id="66"/>
      <w:bookmarkEnd w:id="67"/>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hint="eastAsia" w:ascii="宋体" w:hAnsi="宋体" w:cs="宋体"/>
          <w:b/>
          <w:kern w:val="0"/>
          <w:sz w:val="24"/>
        </w:rPr>
      </w:pPr>
      <w:bookmarkStart w:id="68" w:name="_Toc20094"/>
      <w:bookmarkStart w:id="69" w:name="_Toc44855428"/>
      <w:bookmarkStart w:id="70" w:name="_Toc456291472"/>
      <w:bookmarkStart w:id="71" w:name="_Toc456291273"/>
      <w:bookmarkStart w:id="72" w:name="_Toc44692122"/>
      <w:bookmarkStart w:id="73" w:name="_Toc462487364"/>
      <w:bookmarkStart w:id="74" w:name="_Toc456291530"/>
      <w:bookmarkStart w:id="75" w:name="_Toc456291347"/>
      <w:bookmarkStart w:id="76" w:name="_Toc46764851"/>
      <w:bookmarkStart w:id="77" w:name="_Toc456291253"/>
      <w:bookmarkStart w:id="78" w:name="_Toc46744897"/>
      <w:bookmarkStart w:id="79" w:name="_Toc456291158"/>
      <w:r>
        <w:rPr>
          <w:rFonts w:hint="eastAsia" w:ascii="宋体" w:hAnsi="宋体" w:cs="宋体"/>
          <w:b/>
          <w:kern w:val="0"/>
          <w:sz w:val="24"/>
        </w:rPr>
        <w:t>（五）</w:t>
      </w:r>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s="宋体"/>
          <w:b/>
          <w:kern w:val="0"/>
          <w:sz w:val="24"/>
        </w:rPr>
        <w:t>谈判程序及步骤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3"/>
        <w:spacing w:line="360" w:lineRule="auto"/>
        <w:ind w:firstLine="456"/>
        <w:rPr>
          <w:rFonts w:hint="eastAsia"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3"/>
        <w:spacing w:line="360" w:lineRule="auto"/>
        <w:ind w:firstLine="480"/>
        <w:rPr>
          <w:rFonts w:hint="eastAsia"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hint="eastAsia" w:ascii="宋体" w:hAnsi="宋体" w:cs="宋体"/>
          <w:b/>
          <w:kern w:val="0"/>
          <w:sz w:val="24"/>
        </w:rPr>
      </w:pPr>
      <w:bookmarkStart w:id="80" w:name="_Toc46744898"/>
      <w:bookmarkStart w:id="81" w:name="_Toc456291159"/>
      <w:bookmarkStart w:id="82" w:name="_Toc44692123"/>
      <w:bookmarkStart w:id="83" w:name="_Toc456291473"/>
      <w:bookmarkStart w:id="84" w:name="_Toc462487365"/>
      <w:bookmarkStart w:id="85" w:name="_Toc456291274"/>
      <w:bookmarkStart w:id="86" w:name="_Toc456291348"/>
      <w:bookmarkStart w:id="87" w:name="_Toc456291254"/>
      <w:bookmarkStart w:id="88" w:name="_Toc44855429"/>
      <w:bookmarkStart w:id="89" w:name="_Toc46764852"/>
      <w:bookmarkStart w:id="90" w:name="_Toc28588"/>
      <w:bookmarkStart w:id="91" w:name="_Toc456291531"/>
      <w:r>
        <w:rPr>
          <w:rFonts w:hint="eastAsia" w:ascii="宋体" w:hAnsi="宋体" w:cs="宋体"/>
          <w:b/>
          <w:kern w:val="0"/>
          <w:sz w:val="24"/>
        </w:rPr>
        <w:t>（六）确定成交供应商办法和原则</w:t>
      </w:r>
      <w:bookmarkEnd w:id="80"/>
      <w:bookmarkEnd w:id="81"/>
      <w:bookmarkEnd w:id="82"/>
      <w:bookmarkEnd w:id="83"/>
      <w:bookmarkEnd w:id="84"/>
      <w:bookmarkEnd w:id="85"/>
      <w:bookmarkEnd w:id="86"/>
      <w:bookmarkEnd w:id="87"/>
      <w:bookmarkEnd w:id="88"/>
      <w:bookmarkEnd w:id="89"/>
      <w:bookmarkEnd w:id="90"/>
      <w:bookmarkEnd w:id="91"/>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hint="eastAsia" w:ascii="宋体" w:hAnsi="宋体" w:cs="宋体"/>
          <w:b/>
          <w:kern w:val="0"/>
          <w:sz w:val="24"/>
        </w:rPr>
      </w:pPr>
      <w:bookmarkStart w:id="92" w:name="_Toc44692124"/>
      <w:bookmarkStart w:id="93" w:name="_Toc46764853"/>
      <w:bookmarkStart w:id="94" w:name="_Toc28067"/>
      <w:bookmarkStart w:id="95" w:name="_Toc46744899"/>
      <w:bookmarkStart w:id="96" w:name="_Toc44855430"/>
      <w:r>
        <w:rPr>
          <w:rFonts w:hint="eastAsia" w:ascii="宋体" w:hAnsi="宋体" w:cs="宋体"/>
          <w:b/>
          <w:kern w:val="0"/>
          <w:sz w:val="24"/>
        </w:rPr>
        <w:t>（七）授予合同</w:t>
      </w:r>
      <w:bookmarkEnd w:id="92"/>
      <w:bookmarkEnd w:id="93"/>
      <w:bookmarkEnd w:id="94"/>
      <w:bookmarkEnd w:id="95"/>
      <w:bookmarkEnd w:id="96"/>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hint="eastAsia" w:ascii="宋体" w:hAnsi="宋体" w:cs="宋体"/>
          <w:b/>
          <w:kern w:val="0"/>
          <w:sz w:val="24"/>
        </w:rPr>
      </w:pPr>
      <w:bookmarkStart w:id="97" w:name="_Toc44692125"/>
      <w:bookmarkStart w:id="98" w:name="_Toc456291533"/>
      <w:bookmarkStart w:id="99" w:name="_Toc462487367"/>
      <w:bookmarkStart w:id="100" w:name="_Toc456291475"/>
      <w:bookmarkStart w:id="101" w:name="_Toc15655"/>
      <w:bookmarkStart w:id="102" w:name="_Toc456291350"/>
      <w:bookmarkStart w:id="103" w:name="_Toc456291161"/>
      <w:bookmarkStart w:id="104" w:name="_Toc456291256"/>
      <w:bookmarkStart w:id="105" w:name="_Toc46764854"/>
      <w:bookmarkStart w:id="106" w:name="_Toc44855431"/>
      <w:bookmarkStart w:id="107" w:name="_Toc456291276"/>
      <w:bookmarkStart w:id="108" w:name="_Toc46744900"/>
      <w:r>
        <w:rPr>
          <w:rFonts w:hint="eastAsia" w:ascii="宋体" w:hAnsi="宋体" w:cs="宋体"/>
          <w:b/>
          <w:kern w:val="0"/>
          <w:sz w:val="24"/>
        </w:rPr>
        <w:t>（八）公告、质疑</w:t>
      </w:r>
      <w:bookmarkEnd w:id="97"/>
      <w:bookmarkEnd w:id="98"/>
      <w:bookmarkEnd w:id="99"/>
      <w:bookmarkEnd w:id="100"/>
      <w:bookmarkEnd w:id="101"/>
      <w:bookmarkEnd w:id="102"/>
      <w:bookmarkEnd w:id="103"/>
      <w:bookmarkEnd w:id="104"/>
      <w:bookmarkEnd w:id="105"/>
      <w:bookmarkEnd w:id="106"/>
      <w:bookmarkEnd w:id="107"/>
      <w:bookmarkEnd w:id="108"/>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3"/>
        <w:spacing w:line="360" w:lineRule="auto"/>
        <w:ind w:firstLine="480"/>
        <w:rPr>
          <w:rFonts w:hint="eastAsia"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3"/>
        <w:spacing w:line="360" w:lineRule="auto"/>
        <w:ind w:firstLine="436"/>
        <w:rPr>
          <w:rFonts w:hint="eastAsia"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hint="eastAsia" w:ascii="宋体" w:hAnsi="宋体" w:cs="宋体"/>
          <w:b/>
          <w:kern w:val="0"/>
          <w:sz w:val="24"/>
        </w:rPr>
      </w:pPr>
      <w:bookmarkStart w:id="109" w:name="_Toc456291351"/>
      <w:bookmarkStart w:id="110" w:name="_Toc44855432"/>
      <w:bookmarkStart w:id="111" w:name="_Toc44692126"/>
      <w:bookmarkStart w:id="112" w:name="_Toc462487368"/>
      <w:bookmarkStart w:id="113" w:name="_Toc456291257"/>
      <w:bookmarkStart w:id="114" w:name="_Toc456291534"/>
      <w:bookmarkStart w:id="115" w:name="_Toc456291277"/>
      <w:bookmarkStart w:id="116" w:name="_Toc26773"/>
      <w:bookmarkStart w:id="117" w:name="_Toc456291162"/>
      <w:bookmarkStart w:id="118" w:name="_Toc46764855"/>
      <w:bookmarkStart w:id="119" w:name="_Toc456291476"/>
      <w:bookmarkStart w:id="120" w:name="_Toc46744901"/>
      <w:r>
        <w:rPr>
          <w:rFonts w:hint="eastAsia" w:ascii="宋体" w:hAnsi="宋体" w:cs="宋体"/>
          <w:b/>
          <w:kern w:val="0"/>
          <w:sz w:val="24"/>
        </w:rPr>
        <w:t>（九）项目验收</w:t>
      </w:r>
      <w:bookmarkEnd w:id="109"/>
      <w:bookmarkEnd w:id="110"/>
      <w:bookmarkEnd w:id="111"/>
      <w:bookmarkEnd w:id="112"/>
      <w:bookmarkEnd w:id="113"/>
      <w:bookmarkEnd w:id="114"/>
      <w:bookmarkEnd w:id="115"/>
      <w:bookmarkEnd w:id="116"/>
      <w:bookmarkEnd w:id="117"/>
      <w:bookmarkEnd w:id="118"/>
      <w:bookmarkEnd w:id="119"/>
      <w:bookmarkEnd w:id="120"/>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hint="eastAsia" w:ascii="宋体" w:hAnsi="宋体" w:cs="宋体"/>
          <w:b/>
          <w:kern w:val="0"/>
          <w:sz w:val="24"/>
        </w:rPr>
      </w:pPr>
      <w:bookmarkStart w:id="121" w:name="_Toc44692127"/>
      <w:bookmarkStart w:id="122" w:name="_Toc462487369"/>
      <w:bookmarkStart w:id="123" w:name="_Toc46744902"/>
      <w:bookmarkStart w:id="124" w:name="_Toc456291278"/>
      <w:bookmarkStart w:id="125" w:name="_Toc456291535"/>
      <w:bookmarkStart w:id="126" w:name="_Toc456291163"/>
      <w:bookmarkStart w:id="127" w:name="_Toc30161"/>
      <w:bookmarkStart w:id="128" w:name="_Toc44855433"/>
      <w:bookmarkStart w:id="129" w:name="_Toc46764856"/>
      <w:bookmarkStart w:id="130" w:name="_Toc456291258"/>
      <w:bookmarkStart w:id="131" w:name="_Toc456291352"/>
      <w:bookmarkStart w:id="132" w:name="_Toc456291477"/>
      <w:r>
        <w:rPr>
          <w:rFonts w:hint="eastAsia" w:ascii="宋体" w:hAnsi="宋体" w:cs="宋体"/>
          <w:b/>
          <w:kern w:val="0"/>
          <w:sz w:val="24"/>
        </w:rPr>
        <w:t>（十）适用法律</w:t>
      </w:r>
      <w:bookmarkEnd w:id="121"/>
      <w:bookmarkEnd w:id="122"/>
      <w:bookmarkEnd w:id="123"/>
      <w:bookmarkEnd w:id="124"/>
      <w:bookmarkEnd w:id="125"/>
      <w:bookmarkEnd w:id="126"/>
      <w:bookmarkEnd w:id="127"/>
      <w:bookmarkEnd w:id="128"/>
      <w:bookmarkEnd w:id="129"/>
      <w:bookmarkEnd w:id="130"/>
      <w:bookmarkEnd w:id="131"/>
      <w:bookmarkEnd w:id="132"/>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9"/>
        <w:rPr>
          <w:rFonts w:hint="eastAsia" w:ascii="宋体" w:hAnsi="宋体" w:cs="宋体"/>
          <w:b/>
          <w:bCs/>
          <w:sz w:val="24"/>
        </w:rPr>
      </w:pPr>
      <w:r>
        <w:rPr>
          <w:rFonts w:hint="eastAsia" w:cs="宋体"/>
          <w:kern w:val="2"/>
        </w:rPr>
        <w:br w:type="page"/>
      </w:r>
      <w:r>
        <w:rPr>
          <w:rFonts w:hint="eastAsia" w:ascii="宋体" w:hAnsi="宋体" w:cs="宋体"/>
        </w:rPr>
        <w:t>第四章  采购项目内容及要求</w:t>
      </w:r>
      <w:bookmarkEnd w:id="27"/>
      <w:bookmarkEnd w:id="28"/>
      <w:bookmarkEnd w:id="29"/>
      <w:bookmarkEnd w:id="30"/>
      <w:bookmarkEnd w:id="31"/>
    </w:p>
    <w:p>
      <w:pPr>
        <w:spacing w:line="420" w:lineRule="exact"/>
        <w:rPr>
          <w:rFonts w:ascii="宋体" w:cs="宋体"/>
          <w:sz w:val="18"/>
          <w:szCs w:val="18"/>
        </w:rPr>
      </w:pPr>
      <w:r>
        <w:rPr>
          <w:rFonts w:hint="eastAsia" w:ascii="宋体" w:hAnsi="宋体" w:cs="宋体"/>
          <w:b/>
          <w:bCs/>
          <w:sz w:val="24"/>
        </w:rPr>
        <w:t>一、项目内容：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ascii="宋体" w:hAnsi="宋体" w:cs="宋体"/>
          <w:sz w:val="24"/>
        </w:rPr>
        <w:t>1.</w:t>
      </w:r>
      <w:r>
        <w:rPr>
          <w:rFonts w:hint="eastAsia" w:ascii="宋体" w:hAnsi="宋体" w:cs="宋体"/>
          <w:sz w:val="24"/>
        </w:rPr>
        <w:t>项目名称：黄石市中心医院多学科配置防盗和监控报警设施采购项目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2.采购方式：竞争性谈判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6.5</w:t>
      </w:r>
      <w:r>
        <w:rPr>
          <w:rFonts w:hint="eastAsia" w:ascii="宋体" w:hAnsi="宋体" w:cs="宋体"/>
          <w:sz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质保期</w:t>
      </w:r>
      <w:r>
        <w:rPr>
          <w:rFonts w:hint="eastAsia" w:ascii="宋体" w:hAnsi="宋体" w:cs="宋体"/>
          <w:sz w:val="24"/>
        </w:rPr>
        <w:t>：</w:t>
      </w:r>
      <w:r>
        <w:rPr>
          <w:rFonts w:hint="eastAsia" w:ascii="宋体" w:hAnsi="宋体" w:cs="宋体"/>
          <w:sz w:val="24"/>
          <w:lang w:val="en-US" w:eastAsia="zh-CN"/>
        </w:rPr>
        <w:t>不低于2年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服务</w:t>
      </w:r>
      <w:r>
        <w:rPr>
          <w:rFonts w:hint="eastAsia" w:ascii="宋体" w:hAnsi="宋体" w:cs="宋体"/>
          <w:sz w:val="24"/>
          <w:szCs w:val="24"/>
        </w:rPr>
        <w:t>地点：黄石市中心医院指定地点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pPr>
        <w:pStyle w:val="15"/>
        <w:numPr>
          <w:ilvl w:val="0"/>
          <w:numId w:val="0"/>
        </w:numPr>
        <w:spacing w:line="360" w:lineRule="auto"/>
        <w:ind w:leftChars="0"/>
        <w:rPr>
          <w:rFonts w:ascii="宋体" w:cs="宋体"/>
          <w:sz w:val="18"/>
          <w:szCs w:val="18"/>
        </w:rPr>
      </w:pPr>
      <w:r>
        <w:rPr>
          <w:rFonts w:hint="eastAsia" w:ascii="宋体" w:hAnsi="宋体" w:cs="宋体"/>
          <w:b/>
          <w:bCs/>
          <w:sz w:val="24"/>
          <w:lang w:val="en-US" w:eastAsia="zh-CN"/>
        </w:rPr>
        <w:t>二、</w:t>
      </w:r>
      <w:r>
        <w:rPr>
          <w:rFonts w:hint="eastAsia" w:ascii="宋体" w:hAnsi="宋体" w:cs="宋体"/>
          <w:b/>
          <w:bCs/>
          <w:sz w:val="24"/>
        </w:rPr>
        <w:t>技术规格及要求：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lang w:val="en-US" w:eastAsia="zh-CN" w:bidi="ar"/>
        </w:rPr>
      </w:pPr>
      <w:bookmarkStart w:id="133" w:name="_Toc528493168"/>
      <w:bookmarkStart w:id="134" w:name="_Toc528493580"/>
      <w:bookmarkStart w:id="135" w:name="_Toc528494286"/>
      <w:bookmarkStart w:id="136" w:name="_Toc528493087"/>
      <w:bookmarkStart w:id="137" w:name="_Hlk18936003"/>
      <w:bookmarkStart w:id="138" w:name="_Toc528493135"/>
      <w:r>
        <w:rPr>
          <w:rFonts w:hint="eastAsia" w:ascii="宋体" w:hAnsi="宋体" w:eastAsia="宋体" w:cs="宋体"/>
          <w:b/>
          <w:bCs/>
          <w:color w:val="auto"/>
          <w:sz w:val="24"/>
          <w:szCs w:val="24"/>
          <w:lang w:val="en-US" w:eastAsia="zh-CN" w:bidi="ar"/>
        </w:rPr>
        <w:t>1、</w:t>
      </w:r>
      <w:r>
        <w:rPr>
          <w:rFonts w:hint="eastAsia" w:ascii="宋体" w:hAnsi="宋体" w:eastAsia="宋体" w:cs="宋体"/>
          <w:color w:val="auto"/>
          <w:sz w:val="24"/>
          <w:szCs w:val="24"/>
          <w:lang w:val="en-US" w:eastAsia="zh-CN" w:bidi="ar"/>
        </w:rPr>
        <w:t>在中心院区重症医学科、心血管内科、心导管室(介入)，共计6台摄像机。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lang w:val="en-US" w:eastAsia="zh-CN" w:bidi="ar"/>
        </w:rPr>
      </w:pPr>
      <w:r>
        <w:rPr>
          <w:rFonts w:hint="eastAsia" w:ascii="宋体" w:hAnsi="宋体" w:eastAsia="宋体" w:cs="宋体"/>
          <w:b/>
          <w:bCs/>
          <w:color w:val="auto"/>
          <w:sz w:val="24"/>
          <w:szCs w:val="24"/>
          <w:lang w:val="en-US" w:eastAsia="zh-CN" w:bidi="ar"/>
        </w:rPr>
        <w:t>2、</w:t>
      </w:r>
      <w:r>
        <w:rPr>
          <w:rFonts w:hint="eastAsia" w:ascii="宋体" w:hAnsi="宋体" w:eastAsia="宋体" w:cs="宋体"/>
          <w:color w:val="auto"/>
          <w:sz w:val="24"/>
          <w:szCs w:val="24"/>
          <w:lang w:val="en-US" w:eastAsia="zh-CN" w:bidi="ar"/>
        </w:rPr>
        <w:t>黄金山院区头颈食管肿瘤内科、腹盆肿瘤内科1、腹盆肿瘤内II(微创)科、胸部肿瘤内科及综合内科配置防盗和监控报警设施，共计8台摄像机。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color w:val="auto"/>
          <w:sz w:val="24"/>
          <w:szCs w:val="24"/>
          <w:lang w:val="en-US" w:eastAsia="zh-CN" w:bidi="ar"/>
        </w:rPr>
      </w:pPr>
      <w:r>
        <w:rPr>
          <w:rFonts w:hint="eastAsia" w:ascii="宋体" w:hAnsi="宋体" w:eastAsia="宋体" w:cs="宋体"/>
          <w:b/>
          <w:bCs/>
          <w:color w:val="auto"/>
          <w:sz w:val="24"/>
          <w:szCs w:val="24"/>
          <w:lang w:val="en-US" w:eastAsia="zh-CN" w:bidi="ar"/>
        </w:rPr>
        <w:t>3、</w:t>
      </w:r>
      <w:r>
        <w:rPr>
          <w:rFonts w:hint="eastAsia" w:ascii="宋体" w:hAnsi="宋体" w:eastAsia="宋体" w:cs="宋体"/>
          <w:color w:val="auto"/>
          <w:sz w:val="24"/>
          <w:szCs w:val="24"/>
          <w:lang w:val="en-US" w:eastAsia="zh-CN" w:bidi="ar"/>
        </w:rPr>
        <w:t>系统功能及要求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使用采用高清可变焦电动镜头摄像机根据实际情况可对重点药品监控区域灵活调整，采用高性能高安全性的专业储存录像机进行记录，方便溯源，支持灾备功能，同时响应文件要求。</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传感器类型：1/3英寸CMOS；像素：400万；最大分辨率：2560×1440；最低照度：0.002lux（彩色模式）；0.0002lux（黑白模式）；0lux（补光灯开启）；最大补光距离：50m（红外）；补光灯：2颗（红外灯）；镜头类型：电动变焦；镜头焦距：2.7mm～13.5mm；镜头光圈：F1.5；视场角：水平：97°～27°；垂直：52°～15°；对角：116°～32°；采用全彩级高灵敏度传感器，F1.0超大光圈镜头，最高分辨率可达400万像素。</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适用于室内光线较暗或无光照环境且要求高清画质的场所，适合逆光环境。</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支持背光补偿，强光抑制，3D数字降噪，120 dB宽动态，适应不同环境。</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 xml:space="preserve">硬盘录像机接入路数：8路；硬盘接口：5个SATA，单盘最大16T。；分辨率：16MP; 12MP; 8MP; 6MP; 5MP; 4MP; 3MP; 1080p; 960p; 720p; D1; CIF；解码能力：1路 16 MP@30fps; 2路 12 MP@30fps; 3路 8 MP@30fps; 4路 5 MP@30fps; 6路 4 MP@30fps;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b/>
          <w:bCs/>
          <w:color w:val="auto"/>
          <w:sz w:val="24"/>
          <w:szCs w:val="24"/>
          <w:lang w:val="en-US" w:eastAsia="zh-CN" w:bidi="ar"/>
        </w:rPr>
        <w:t>4、</w:t>
      </w:r>
      <w:r>
        <w:rPr>
          <w:rFonts w:hint="eastAsia" w:ascii="宋体" w:hAnsi="宋体" w:eastAsia="宋体" w:cs="宋体"/>
          <w:color w:val="auto"/>
          <w:sz w:val="24"/>
          <w:szCs w:val="24"/>
          <w:lang w:val="en-US" w:eastAsia="zh-CN" w:bidi="ar"/>
        </w:rPr>
        <w:t>设备组成</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设备主要由视频存储及管理系统，前端摄像机，综合安防管理平台软硬件系统等组成。</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主要设备及参数要求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乙方按甲方提供的布置图及主体设备设计图完成设计规划，经甲方审核后进行供货、指导安装和调试，并安装调试质量负责。</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供货范围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7136"/>
        <w:gridCol w:w="497"/>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B8CCE4"/>
          </w:tcPr>
          <w:p>
            <w:pPr>
              <w:pStyle w:val="16"/>
              <w:spacing w:after="0" w:line="583" w:lineRule="exact"/>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序号</w:t>
            </w:r>
          </w:p>
        </w:tc>
        <w:tc>
          <w:tcPr>
            <w:tcW w:w="0" w:type="auto"/>
            <w:shd w:val="clear" w:color="auto" w:fill="B8CCE4"/>
          </w:tcPr>
          <w:p>
            <w:pPr>
              <w:pStyle w:val="16"/>
              <w:spacing w:after="0" w:line="583" w:lineRule="exact"/>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名称</w:t>
            </w:r>
          </w:p>
        </w:tc>
        <w:tc>
          <w:tcPr>
            <w:tcW w:w="0" w:type="auto"/>
            <w:shd w:val="clear" w:color="auto" w:fill="B8CCE4"/>
          </w:tcPr>
          <w:p>
            <w:pPr>
              <w:pStyle w:val="16"/>
              <w:spacing w:after="0" w:line="583" w:lineRule="exact"/>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单位</w:t>
            </w:r>
          </w:p>
        </w:tc>
        <w:tc>
          <w:tcPr>
            <w:tcW w:w="0" w:type="auto"/>
            <w:shd w:val="clear" w:color="auto" w:fill="B8CCE4"/>
          </w:tcPr>
          <w:p>
            <w:pPr>
              <w:pStyle w:val="16"/>
              <w:spacing w:after="0" w:line="583" w:lineRule="exact"/>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可调焦半球摄像机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0" w:type="auto"/>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传感器类型：1/3英寸CMOS；像素：400万；</w:t>
            </w:r>
          </w:p>
          <w:p>
            <w:pPr>
              <w:keepNext w:val="0"/>
              <w:keepLines w:val="0"/>
              <w:widowControl/>
              <w:suppressLineNumbers w:val="0"/>
              <w:spacing w:after="180" w:afterAutospacing="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最大分辨率：2560×1440；最低照度：0.002lux（彩色模式）；0.0002lux（黑白模式）；0lux（补光灯开启）；最大补光距离：50m（红外）；</w:t>
            </w:r>
          </w:p>
          <w:p>
            <w:pPr>
              <w:keepNext w:val="0"/>
              <w:keepLines w:val="0"/>
              <w:widowControl/>
              <w:suppressLineNumbers w:val="0"/>
              <w:spacing w:after="180" w:afterAutospacing="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补光灯：2颗（红外灯）；镜头类型：电动变焦；镜头焦距：2.7mm～13.5mm；</w:t>
            </w:r>
          </w:p>
          <w:p>
            <w:pPr>
              <w:keepNext w:val="0"/>
              <w:keepLines w:val="0"/>
              <w:widowControl/>
              <w:suppressLineNumbers w:val="0"/>
              <w:spacing w:after="180" w:afterAutospacing="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镜头光圈：F1.5；视场角：水平：97°～27°；垂直：52°～15°；对角：116°～32°；</w:t>
            </w:r>
          </w:p>
          <w:p>
            <w:pPr>
              <w:keepNext w:val="0"/>
              <w:keepLines w:val="0"/>
              <w:widowControl/>
              <w:suppressLineNumbers w:val="0"/>
              <w:spacing w:after="180" w:afterAutospacing="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通用行为分析：绊线入侵；区域入侵；智能编码：H.264：支持；H.265：支持；</w:t>
            </w:r>
          </w:p>
          <w:p>
            <w:pPr>
              <w:keepNext w:val="0"/>
              <w:keepLines w:val="0"/>
              <w:widowControl/>
              <w:suppressLineNumbers w:val="0"/>
              <w:spacing w:after="180" w:afterAutospacing="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宽动态：120dB；走廊模式：90°/270°（在2560×1440分辨率及以下支持）；</w:t>
            </w:r>
          </w:p>
          <w:p>
            <w:pPr>
              <w:keepNext w:val="0"/>
              <w:keepLines w:val="0"/>
              <w:widowControl/>
              <w:suppressLineNumbers w:val="0"/>
              <w:spacing w:after="180" w:afterAutospacing="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内置MIC：支持；报警事件：无SD卡；SD卡空间不足；SD卡出错；网络断开；IP冲突；非法访问；动态检测；视频遮挡；绊线入侵；区域入侵；音频异常侦测；电压检测；安全异常；智能动检（人）;虚焦侦测；接入标准：ONVIF（Profile S &amp; Profile G &amp; Profile T）；CGI；GB/T28181（双国标）；预览最大用户数：20个（总带宽:48M）；最大Micro SD卡：256GB；供电方式：DC12V/PoE；防护等级：IP67；IK10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存储录像机</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【产品核心性能要求】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主处理器：工业级微控制器；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操作系统：嵌入式Linux操作系统；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操作界面：Web，本地GUI；</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接入路数：8路；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硬盘接口：5个SATA，单盘最大16T。；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分辨率：16MP; 12MP; 8MP; 6MP; 5MP; 4MP; 3MP; 1080p; 960p; 720p; D1; CIF；</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解码能力：1路 16 MP@30fps; 2路 12 MP@30fps; 3路 8 MP@30fps; 4路 5 MP@30fps; 6路 4 MP@30fps; 12路 1080p@30fps；；</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多路回放：最大支持8路回放；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报警输入：16路；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报警输出：4路；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画面分割：主屏：1/4/8/9；辅屏: 1/4/8/9；</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前智能分析：支持前智能人脸检测、人脸识别、周界防范、SMD、立体行为分析、人群分布、人数统计、车牌识别；</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后智能分析：支持后智能人脸检测、人脸识别、周界防范、SMD；</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音频输入：1路，RCA接口；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音频输出：1路，RCA接口；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HDMI接口：1个；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VGA接口：1个；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人脸检测前智能性能（路数）：8路；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人脸检测后智能性能（1080P）(路数)：1路，单路同时最多检测12张人脸；</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人脸识别前智能性能（路数）：8路；</w:t>
            </w:r>
          </w:p>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人脸识别后智能性能（1080P）(路数)：1、前端人脸检测+后端人脸比对支持8路，图片流人脸12张/秒；2、后端人脸检测+后端人脸比对支持1路，视频流人脸12张/秒；</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网络交换机</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POE千兆交换机 8个千兆口</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UTP-6网线</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 xml:space="preserve">    机械物理性能满足并符合GB/T13849.1-93标准要求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对绞耐压强度：直流电压试验1.5KV/60s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缆芯结构：同芯式或SZ式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芯缆防水绕包：非吸透明聚脂膜绕包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箱</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安装调试及相关配套</w:t>
            </w:r>
          </w:p>
        </w:tc>
        <w:tc>
          <w:tcPr>
            <w:tcW w:w="0" w:type="auto"/>
            <w:shd w:val="clear" w:color="auto" w:fill="auto"/>
            <w:vAlign w:val="center"/>
          </w:tcPr>
          <w:p>
            <w:pPr>
              <w:jc w:val="left"/>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根据现场情况出具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1</w:t>
            </w:r>
          </w:p>
        </w:tc>
      </w:tr>
    </w:tbl>
    <w:p>
      <w:pPr>
        <w:widowControl/>
        <w:numPr>
          <w:ilvl w:val="0"/>
          <w:numId w:val="0"/>
        </w:numPr>
        <w:spacing w:line="360" w:lineRule="auto"/>
        <w:ind w:leftChars="0"/>
        <w:rPr>
          <w:rFonts w:hint="eastAsia" w:ascii="宋体" w:hAnsi="宋体" w:eastAsia="宋体" w:cs="宋体"/>
          <w:color w:val="auto"/>
          <w:sz w:val="24"/>
          <w:szCs w:val="24"/>
          <w:lang w:val="en-US" w:eastAsia="zh-CN" w:bidi="ar"/>
        </w:rPr>
      </w:pPr>
      <w:r>
        <w:rPr>
          <w:rFonts w:hint="eastAsia" w:ascii="宋体" w:hAnsi="宋体" w:eastAsia="宋体" w:cs="宋体"/>
          <w:b/>
          <w:bCs/>
          <w:color w:val="auto"/>
          <w:sz w:val="24"/>
          <w:szCs w:val="24"/>
          <w:lang w:val="en-US" w:eastAsia="zh-CN" w:bidi="ar"/>
        </w:rPr>
        <w:t>5、</w:t>
      </w:r>
      <w:r>
        <w:rPr>
          <w:rFonts w:hint="eastAsia" w:ascii="宋体" w:hAnsi="宋体" w:eastAsia="宋体" w:cs="宋体"/>
          <w:color w:val="auto"/>
          <w:sz w:val="24"/>
          <w:szCs w:val="24"/>
          <w:lang w:val="en-US" w:eastAsia="zh-CN" w:bidi="ar"/>
        </w:rPr>
        <w:t>质量保证及售后服务</w:t>
      </w:r>
    </w:p>
    <w:p>
      <w:pPr>
        <w:widowControl/>
        <w:numPr>
          <w:ilvl w:val="0"/>
          <w:numId w:val="0"/>
        </w:numPr>
        <w:spacing w:line="360" w:lineRule="auto"/>
        <w:ind w:leftChars="0"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b/>
          <w:bCs/>
          <w:color w:val="auto"/>
          <w:sz w:val="24"/>
          <w:szCs w:val="24"/>
          <w:lang w:val="en-US" w:eastAsia="zh-CN" w:bidi="ar"/>
        </w:rPr>
        <w:t>设备在使用过程中，质保期</w:t>
      </w:r>
      <w:r>
        <w:rPr>
          <w:rFonts w:hint="eastAsia" w:ascii="宋体" w:hAnsi="宋体" w:cs="宋体"/>
          <w:b/>
          <w:bCs/>
          <w:color w:val="auto"/>
          <w:sz w:val="24"/>
          <w:szCs w:val="24"/>
          <w:lang w:val="en-US" w:eastAsia="zh-CN" w:bidi="ar"/>
        </w:rPr>
        <w:t>不低于</w:t>
      </w:r>
      <w:bookmarkStart w:id="141" w:name="_GoBack"/>
      <w:bookmarkEnd w:id="141"/>
      <w:r>
        <w:rPr>
          <w:rFonts w:hint="eastAsia" w:ascii="宋体" w:hAnsi="宋体" w:eastAsia="宋体" w:cs="宋体"/>
          <w:b/>
          <w:bCs/>
          <w:color w:val="auto"/>
          <w:sz w:val="24"/>
          <w:szCs w:val="24"/>
          <w:lang w:val="en-US" w:eastAsia="zh-CN" w:bidi="ar"/>
        </w:rPr>
        <w:t>两年</w:t>
      </w:r>
      <w:r>
        <w:rPr>
          <w:rFonts w:hint="eastAsia" w:ascii="宋体" w:hAnsi="宋体" w:eastAsia="宋体" w:cs="宋体"/>
          <w:color w:val="auto"/>
          <w:sz w:val="24"/>
          <w:szCs w:val="24"/>
          <w:lang w:val="en-US" w:eastAsia="zh-CN" w:bidi="ar"/>
        </w:rPr>
        <w:t>，出现质量问题由乙方负责。接到用户通知后，于24小时内到达现场无偿维修服务，进行故障排除，作到故障不排除，维修服务人员不撤离现场。</w:t>
      </w:r>
    </w:p>
    <w:p>
      <w:pPr>
        <w:widowControl/>
        <w:numPr>
          <w:ilvl w:val="0"/>
          <w:numId w:val="0"/>
        </w:numPr>
        <w:spacing w:line="360" w:lineRule="auto"/>
        <w:ind w:leftChars="0" w:firstLine="480" w:firstLineChars="200"/>
        <w:rPr>
          <w:rFonts w:hint="eastAsia" w:ascii="宋体" w:hAnsi="宋体" w:eastAsia="宋体" w:cs="宋体"/>
          <w:color w:val="auto"/>
          <w:sz w:val="24"/>
          <w:szCs w:val="24"/>
          <w:lang w:val="en-US" w:eastAsia="zh-CN" w:bidi="ar"/>
        </w:rPr>
      </w:pPr>
      <w:bookmarkStart w:id="139" w:name="bookmark135"/>
      <w:r>
        <w:rPr>
          <w:rFonts w:hint="eastAsia" w:ascii="宋体" w:hAnsi="宋体" w:eastAsia="宋体" w:cs="宋体"/>
          <w:color w:val="auto"/>
          <w:sz w:val="24"/>
          <w:szCs w:val="24"/>
          <w:lang w:val="en-US" w:eastAsia="zh-CN" w:bidi="ar"/>
        </w:rPr>
        <w:t>（</w:t>
      </w:r>
      <w:bookmarkEnd w:id="139"/>
      <w:r>
        <w:rPr>
          <w:rFonts w:hint="eastAsia" w:ascii="宋体" w:hAnsi="宋体" w:eastAsia="宋体" w:cs="宋体"/>
          <w:color w:val="auto"/>
          <w:sz w:val="24"/>
          <w:szCs w:val="24"/>
          <w:lang w:val="en-US" w:eastAsia="zh-CN" w:bidi="ar"/>
        </w:rPr>
        <w:t>2）产品在用户使用过程中（质保期），定期（2-3个月）派专业工程师或机师到现场对设备关键部件检查、调整。</w:t>
      </w:r>
    </w:p>
    <w:p>
      <w:pPr>
        <w:widowControl/>
        <w:numPr>
          <w:ilvl w:val="0"/>
          <w:numId w:val="0"/>
        </w:numPr>
        <w:spacing w:line="360" w:lineRule="auto"/>
        <w:ind w:leftChars="0" w:firstLine="480" w:firstLineChars="200"/>
        <w:rPr>
          <w:rFonts w:hint="eastAsia" w:ascii="宋体" w:hAnsi="宋体" w:eastAsia="宋体" w:cs="宋体"/>
          <w:color w:val="auto"/>
          <w:sz w:val="24"/>
          <w:szCs w:val="24"/>
          <w:lang w:val="en-US" w:eastAsia="zh-CN" w:bidi="ar"/>
        </w:rPr>
      </w:pPr>
      <w:bookmarkStart w:id="140" w:name="bookmark136"/>
      <w:r>
        <w:rPr>
          <w:rFonts w:hint="eastAsia" w:ascii="宋体" w:hAnsi="宋体" w:eastAsia="宋体" w:cs="宋体"/>
          <w:color w:val="auto"/>
          <w:sz w:val="24"/>
          <w:szCs w:val="24"/>
          <w:lang w:val="en-US" w:eastAsia="zh-CN" w:bidi="ar"/>
        </w:rPr>
        <w:t>（</w:t>
      </w:r>
      <w:bookmarkEnd w:id="140"/>
      <w:r>
        <w:rPr>
          <w:rFonts w:hint="eastAsia" w:ascii="宋体" w:hAnsi="宋体" w:eastAsia="宋体" w:cs="宋体"/>
          <w:color w:val="auto"/>
          <w:sz w:val="24"/>
          <w:szCs w:val="24"/>
          <w:lang w:val="en-US" w:eastAsia="zh-CN" w:bidi="ar"/>
        </w:rPr>
        <w:t>3）出厂的产品，常年为用户提供设备维修所需零配件，并保证对按不高于投标时的分项报价优惠供应。</w:t>
      </w:r>
    </w:p>
    <w:p>
      <w:pPr>
        <w:spacing w:line="420" w:lineRule="exact"/>
        <w:ind w:firstLine="480" w:firstLineChars="200"/>
        <w:rPr>
          <w:rFonts w:hint="eastAsia" w:ascii="宋体" w:hAnsi="宋体" w:eastAsia="宋体" w:cs="宋体"/>
          <w:color w:val="auto"/>
          <w:sz w:val="24"/>
          <w:szCs w:val="24"/>
          <w:lang w:val="en-US" w:eastAsia="zh-CN"/>
        </w:rPr>
      </w:pPr>
    </w:p>
    <w:bookmarkEnd w:id="133"/>
    <w:bookmarkEnd w:id="134"/>
    <w:bookmarkEnd w:id="135"/>
    <w:bookmarkEnd w:id="136"/>
    <w:bookmarkEnd w:id="137"/>
    <w:bookmarkEnd w:id="138"/>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D1EF4"/>
    <w:multiLevelType w:val="singleLevel"/>
    <w:tmpl w:val="269D1EF4"/>
    <w:lvl w:ilvl="0" w:tentative="0">
      <w:start w:val="1"/>
      <w:numFmt w:val="decimal"/>
      <w:suff w:val="nothing"/>
      <w:lvlText w:val="%1）"/>
      <w:lvlJc w:val="left"/>
    </w:lvl>
  </w:abstractNum>
  <w:abstractNum w:abstractNumId="1">
    <w:nsid w:val="652825E5"/>
    <w:multiLevelType w:val="singleLevel"/>
    <w:tmpl w:val="652825E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552DD"/>
    <w:rsid w:val="000552DD"/>
    <w:rsid w:val="004C76CF"/>
    <w:rsid w:val="00812C8C"/>
    <w:rsid w:val="00AC7851"/>
    <w:rsid w:val="00B56CB4"/>
    <w:rsid w:val="00E3694C"/>
    <w:rsid w:val="09107AF0"/>
    <w:rsid w:val="13121D70"/>
    <w:rsid w:val="1F6164F4"/>
    <w:rsid w:val="3059366C"/>
    <w:rsid w:val="32B06690"/>
    <w:rsid w:val="46495879"/>
    <w:rsid w:val="4B3B12A9"/>
    <w:rsid w:val="62F04A3E"/>
    <w:rsid w:val="75FF0D73"/>
    <w:rsid w:val="7692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ind w:firstLine="420" w:firstLineChars="200"/>
    </w:pPr>
  </w:style>
  <w:style w:type="paragraph" w:styleId="4">
    <w:name w:val="Plain Text"/>
    <w:basedOn w:val="1"/>
    <w:autoRedefine/>
    <w:qFormat/>
    <w:uiPriority w:val="0"/>
    <w:rPr>
      <w:rFonts w:ascii="宋体" w:hAnsi="Courier New"/>
      <w:szCs w:val="22"/>
    </w:rPr>
  </w:style>
  <w:style w:type="paragraph" w:styleId="5">
    <w:name w:val="footer"/>
    <w:basedOn w:val="1"/>
    <w:autoRedefine/>
    <w:unhideWhenUsed/>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autoRedefine/>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autoRedefine/>
    <w:qFormat/>
    <w:uiPriority w:val="0"/>
    <w:pPr>
      <w:spacing w:before="240" w:after="60"/>
      <w:jc w:val="center"/>
      <w:outlineLvl w:val="0"/>
    </w:pPr>
    <w:rPr>
      <w:rFonts w:ascii="Cambria" w:hAnsi="Cambria"/>
      <w:b/>
      <w:bCs/>
      <w:sz w:val="32"/>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autoRedefine/>
    <w:qFormat/>
    <w:uiPriority w:val="0"/>
    <w:pPr>
      <w:widowControl w:val="0"/>
      <w:jc w:val="both"/>
    </w:pPr>
    <w:rPr>
      <w:rFonts w:ascii="等线" w:hAnsi="等线" w:eastAsia="等线" w:cs="Times New Roman"/>
      <w:kern w:val="2"/>
      <w:sz w:val="21"/>
      <w:szCs w:val="24"/>
      <w:lang w:val="en-US" w:eastAsia="zh-CN" w:bidi="ar-SA"/>
    </w:rPr>
  </w:style>
  <w:style w:type="character" w:customStyle="1" w:styleId="14">
    <w:name w:val="副标题 字符"/>
    <w:link w:val="7"/>
    <w:autoRedefine/>
    <w:qFormat/>
    <w:uiPriority w:val="0"/>
    <w:rPr>
      <w:rFonts w:ascii="Cambria" w:hAnsi="Cambria"/>
      <w:b/>
      <w:bCs/>
      <w:kern w:val="28"/>
      <w:sz w:val="32"/>
      <w:szCs w:val="32"/>
    </w:rPr>
  </w:style>
  <w:style w:type="paragraph" w:styleId="15">
    <w:name w:val="List Paragraph"/>
    <w:basedOn w:val="1"/>
    <w:autoRedefine/>
    <w:qFormat/>
    <w:uiPriority w:val="34"/>
    <w:pPr>
      <w:ind w:firstLine="420" w:firstLineChars="200"/>
    </w:pPr>
    <w:rPr>
      <w:sz w:val="28"/>
      <w:szCs w:val="24"/>
    </w:rPr>
  </w:style>
  <w:style w:type="paragraph" w:customStyle="1" w:styleId="16">
    <w:name w:val="Body text|1"/>
    <w:basedOn w:val="1"/>
    <w:autoRedefine/>
    <w:qFormat/>
    <w:uiPriority w:val="0"/>
    <w:pPr>
      <w:spacing w:after="300" w:line="374" w:lineRule="auto"/>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1046</Words>
  <Characters>5966</Characters>
  <Lines>49</Lines>
  <Paragraphs>13</Paragraphs>
  <TotalTime>9</TotalTime>
  <ScaleCrop>false</ScaleCrop>
  <LinksUpToDate>false</LinksUpToDate>
  <CharactersWithSpaces>6999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2024-03-08T00:25:00Z</dcterms:created>
  <dc:creator>Administrator</dc:creator>
  <cp:lastModifiedBy>Administrator</cp:lastModifiedBy>
  <cp:lastPrinted>2024-04-01T06:05:00Z</cp:lastPrinted>
  <dcterms:modified xsi:type="dcterms:W3CDTF">2024-04-01T08:06:58Z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7A21A9137A9E4B9F90FF57CEC0FEB237_13</vt:lpwstr>
  </property>
</Properties>
</file>