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cs="宋体"/>
                <w:sz w:val="28"/>
                <w:szCs w:val="36"/>
                <w:lang w:val="en-US" w:eastAsia="zh-CN"/>
              </w:rPr>
              <w:t>黄石市中心医院2、3、6号楼冷冻水管网部分楼层管路主阀门更换项目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宋体" w:hAnsi="宋体"/>
                <w:sz w:val="24"/>
                <w:lang w:val="en-US" w:eastAsia="zh-CN"/>
              </w:rPr>
              <w:t>涡轮蝶阀及配件更换</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4</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535814464"/>
      <w:bookmarkStart w:id="1" w:name="_Toc136229088"/>
      <w:bookmarkStart w:id="2" w:name="_Toc120411791"/>
      <w:bookmarkStart w:id="3" w:name="_Toc535815709"/>
      <w:bookmarkStart w:id="4" w:name="_Toc28925"/>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cs="宋体"/>
          <w:sz w:val="24"/>
          <w:szCs w:val="32"/>
          <w:lang w:val="en-US" w:eastAsia="zh-CN"/>
        </w:rPr>
        <w:t>黄石市中心医院2、3、6号楼冷冻水管网部分楼层管路主阀门更换项目</w:t>
      </w:r>
      <w:r>
        <w:rPr>
          <w:rFonts w:hint="eastAsia" w:ascii="宋体" w:hAnsi="宋体"/>
          <w:sz w:val="24"/>
          <w:lang w:val="en-US" w:eastAsia="zh-CN"/>
        </w:rPr>
        <w:t>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eastAsia" w:ascii="宋体" w:hAnsi="宋体" w:cs="宋体"/>
          <w:sz w:val="24"/>
          <w:szCs w:val="32"/>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cs="宋体"/>
          <w:sz w:val="24"/>
          <w:szCs w:val="32"/>
          <w:lang w:val="en-US" w:eastAsia="zh-CN"/>
        </w:rPr>
        <w:t>黄石市中心医院2、3、6号楼冷冻水管网部分楼层管路主阀门更换项目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18000.00元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2909"/>
        <w:gridCol w:w="1897"/>
        <w:gridCol w:w="650"/>
        <w:gridCol w:w="729"/>
        <w:gridCol w:w="886"/>
        <w:gridCol w:w="934"/>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1592"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03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35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39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c>
          <w:tcPr>
            <w:tcW w:w="485"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单价</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51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合计</w:t>
            </w:r>
          </w:p>
          <w:p>
            <w:pPr>
              <w:adjustRightInd w:val="0"/>
              <w:snapToGrid w:val="0"/>
              <w:spacing w:line="300" w:lineRule="exact"/>
              <w:jc w:val="center"/>
              <w:rPr>
                <w:rFonts w:ascii="宋体" w:hAnsi="宋体" w:cs="宋体"/>
                <w:szCs w:val="21"/>
              </w:rPr>
            </w:pPr>
            <w:r>
              <w:rPr>
                <w:rFonts w:hint="eastAsia" w:ascii="宋体" w:hAnsi="宋体" w:cs="宋体"/>
                <w:szCs w:val="21"/>
              </w:rPr>
              <w:t>（元）</w:t>
            </w:r>
          </w:p>
        </w:tc>
        <w:tc>
          <w:tcPr>
            <w:tcW w:w="279"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336"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1592"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 w:val="22"/>
                <w:szCs w:val="22"/>
                <w:lang w:val="en-US" w:eastAsia="zh-CN"/>
              </w:rPr>
              <w:t>涡轮蝶阀</w:t>
            </w:r>
          </w:p>
        </w:tc>
        <w:tc>
          <w:tcPr>
            <w:tcW w:w="1038"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D371X-16Q-DN80</w:t>
            </w:r>
          </w:p>
        </w:tc>
        <w:tc>
          <w:tcPr>
            <w:tcW w:w="356"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台</w:t>
            </w:r>
          </w:p>
        </w:tc>
        <w:tc>
          <w:tcPr>
            <w:tcW w:w="399"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336"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92" w:type="pct"/>
            <w:vAlign w:val="center"/>
          </w:tcPr>
          <w:p>
            <w:pPr>
              <w:adjustRightInd w:val="0"/>
              <w:snapToGrid w:val="0"/>
              <w:spacing w:line="300" w:lineRule="exact"/>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涡轮蝶阀</w:t>
            </w:r>
          </w:p>
        </w:tc>
        <w:tc>
          <w:tcPr>
            <w:tcW w:w="1038"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D371X-16Q-DN65</w:t>
            </w:r>
          </w:p>
        </w:tc>
        <w:tc>
          <w:tcPr>
            <w:tcW w:w="356"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台</w:t>
            </w:r>
          </w:p>
        </w:tc>
        <w:tc>
          <w:tcPr>
            <w:tcW w:w="399"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3</w:t>
            </w:r>
          </w:p>
        </w:tc>
        <w:tc>
          <w:tcPr>
            <w:tcW w:w="1592"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安装调试</w:t>
            </w:r>
          </w:p>
        </w:tc>
        <w:tc>
          <w:tcPr>
            <w:tcW w:w="1038" w:type="pct"/>
            <w:vAlign w:val="center"/>
          </w:tcPr>
          <w:p>
            <w:pPr>
              <w:adjustRightInd w:val="0"/>
              <w:snapToGrid w:val="0"/>
              <w:spacing w:line="300" w:lineRule="exact"/>
              <w:jc w:val="center"/>
              <w:rPr>
                <w:rFonts w:hint="default" w:ascii="宋体" w:hAnsi="宋体" w:cs="宋体"/>
                <w:sz w:val="22"/>
                <w:szCs w:val="22"/>
                <w:lang w:val="en-US" w:eastAsia="zh-CN"/>
              </w:rPr>
            </w:pPr>
            <w:r>
              <w:rPr>
                <w:rFonts w:hint="eastAsia" w:ascii="宋体" w:hAnsi="宋体" w:cs="宋体"/>
                <w:sz w:val="22"/>
                <w:szCs w:val="22"/>
                <w:lang w:val="en-US" w:eastAsia="zh-CN"/>
              </w:rPr>
              <w:t>-</w:t>
            </w:r>
          </w:p>
        </w:tc>
        <w:tc>
          <w:tcPr>
            <w:tcW w:w="356"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次</w:t>
            </w:r>
          </w:p>
        </w:tc>
        <w:tc>
          <w:tcPr>
            <w:tcW w:w="399" w:type="pct"/>
            <w:vAlign w:val="center"/>
          </w:tcPr>
          <w:p>
            <w:pPr>
              <w:adjustRightInd w:val="0"/>
              <w:snapToGrid w:val="0"/>
              <w:spacing w:line="300" w:lineRule="exact"/>
              <w:jc w:val="center"/>
              <w:rPr>
                <w:rFonts w:hint="default" w:ascii="宋体" w:hAnsi="宋体" w:cs="宋体"/>
                <w:szCs w:val="21"/>
                <w:lang w:val="en-US" w:eastAsia="zh-CN"/>
              </w:rPr>
            </w:pPr>
            <w:r>
              <w:rPr>
                <w:rFonts w:hint="eastAsia" w:ascii="宋体" w:hAnsi="宋体" w:cs="宋体"/>
                <w:szCs w:val="21"/>
                <w:lang w:val="en-US" w:eastAsia="zh-CN"/>
              </w:rPr>
              <w:t>1</w:t>
            </w:r>
          </w:p>
        </w:tc>
        <w:tc>
          <w:tcPr>
            <w:tcW w:w="485" w:type="pct"/>
            <w:vAlign w:val="center"/>
          </w:tcPr>
          <w:p>
            <w:pPr>
              <w:adjustRightInd w:val="0"/>
              <w:snapToGrid w:val="0"/>
              <w:spacing w:line="300" w:lineRule="exact"/>
              <w:jc w:val="center"/>
              <w:rPr>
                <w:rFonts w:ascii="宋体" w:hAnsi="宋体" w:cs="宋体"/>
                <w:szCs w:val="21"/>
              </w:rPr>
            </w:pPr>
          </w:p>
        </w:tc>
        <w:tc>
          <w:tcPr>
            <w:tcW w:w="511" w:type="pct"/>
            <w:vAlign w:val="center"/>
          </w:tcPr>
          <w:p>
            <w:pPr>
              <w:adjustRightInd w:val="0"/>
              <w:snapToGrid w:val="0"/>
              <w:spacing w:line="300" w:lineRule="exact"/>
              <w:jc w:val="center"/>
              <w:rPr>
                <w:rFonts w:ascii="宋体" w:hAnsi="宋体" w:cs="宋体"/>
                <w:szCs w:val="21"/>
              </w:rPr>
            </w:pPr>
          </w:p>
        </w:tc>
        <w:tc>
          <w:tcPr>
            <w:tcW w:w="279" w:type="pct"/>
            <w:vAlign w:val="center"/>
          </w:tcPr>
          <w:p>
            <w:pPr>
              <w:adjustRightInd w:val="0"/>
              <w:snapToGrid w:val="0"/>
              <w:spacing w:line="300" w:lineRule="exact"/>
              <w:jc w:val="center"/>
              <w:rPr>
                <w:rFonts w:ascii="宋体" w:hAnsi="宋体" w:cs="宋体"/>
                <w:szCs w:val="21"/>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涡轮蝶阀及配件更换</w:t>
      </w:r>
    </w:p>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）具有履行合同所必需的设备和专业技术能力；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7</w:t>
      </w:r>
      <w:r>
        <w:rPr>
          <w:rFonts w:hint="eastAsia" w:ascii="宋体" w:hAnsi="宋体" w:cs="宋体"/>
          <w:kern w:val="0"/>
          <w:sz w:val="24"/>
        </w:rPr>
        <w:t>号楼</w:t>
      </w:r>
      <w:r>
        <w:rPr>
          <w:rFonts w:hint="eastAsia" w:ascii="宋体" w:hAnsi="宋体" w:cs="宋体"/>
          <w:kern w:val="0"/>
          <w:sz w:val="24"/>
          <w:lang w:val="en-US" w:eastAsia="zh-CN"/>
        </w:rPr>
        <w:t>707</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 xml:space="preserve"> 4 </w:t>
      </w:r>
      <w:r>
        <w:rPr>
          <w:rFonts w:hint="eastAsia" w:ascii="宋体" w:hAnsi="宋体" w:cs="宋体"/>
          <w:kern w:val="0"/>
          <w:sz w:val="24"/>
        </w:rPr>
        <w:t>月</w:t>
      </w:r>
      <w:r>
        <w:rPr>
          <w:rFonts w:hint="eastAsia" w:ascii="宋体" w:hAnsi="宋体" w:cs="宋体"/>
          <w:kern w:val="0"/>
          <w:sz w:val="24"/>
          <w:lang w:val="en-US" w:eastAsia="zh-CN"/>
        </w:rPr>
        <w:t xml:space="preserve"> 25 </w:t>
      </w:r>
      <w:r>
        <w:rPr>
          <w:rFonts w:hint="eastAsia" w:ascii="宋体" w:hAnsi="宋体" w:cs="宋体"/>
          <w:kern w:val="0"/>
          <w:sz w:val="24"/>
        </w:rPr>
        <w:t>日上午</w:t>
      </w:r>
      <w:r>
        <w:rPr>
          <w:rFonts w:hint="eastAsia" w:ascii="宋体" w:hAnsi="宋体" w:cs="宋体"/>
          <w:kern w:val="0"/>
          <w:sz w:val="24"/>
          <w:lang w:val="en-US" w:eastAsia="zh-CN"/>
        </w:rPr>
        <w:t>11</w:t>
      </w:r>
      <w:r>
        <w:rPr>
          <w:rFonts w:hint="eastAsia" w:ascii="宋体" w:hAnsi="宋体" w:cs="宋体"/>
          <w:kern w:val="0"/>
          <w:sz w:val="24"/>
        </w:rPr>
        <w:t>时</w:t>
      </w:r>
      <w:r>
        <w:rPr>
          <w:rFonts w:hint="eastAsia" w:ascii="宋体" w:hAnsi="宋体" w:cs="宋体"/>
          <w:kern w:val="0"/>
          <w:sz w:val="24"/>
          <w:lang w:val="en-US" w:eastAsia="zh-CN"/>
        </w:rPr>
        <w:t xml:space="preserve">30 </w:t>
      </w:r>
      <w:r>
        <w:rPr>
          <w:rFonts w:hint="eastAsia" w:ascii="宋体" w:hAnsi="宋体" w:cs="宋体"/>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联 系 人：</w:t>
      </w:r>
      <w:r>
        <w:rPr>
          <w:rFonts w:hint="eastAsia" w:ascii="宋体" w:hAnsi="宋体" w:cs="宋体"/>
          <w:bCs/>
          <w:kern w:val="0"/>
          <w:sz w:val="24"/>
          <w:lang w:val="en-US" w:eastAsia="zh-CN"/>
        </w:rPr>
        <w:t>邵 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w:t>
      </w:r>
      <w:r>
        <w:rPr>
          <w:rFonts w:hint="eastAsia" w:ascii="宋体" w:hAnsi="宋体" w:cs="宋体"/>
          <w:bCs/>
          <w:kern w:val="0"/>
          <w:sz w:val="24"/>
          <w:lang w:val="en-US" w:eastAsia="zh-CN"/>
        </w:rPr>
        <w:t>13797788685</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 xml:space="preserve"> 4 </w:t>
      </w:r>
      <w:r>
        <w:rPr>
          <w:rFonts w:hint="eastAsia" w:ascii="宋体" w:hAnsi="宋体" w:cs="宋体"/>
          <w:kern w:val="0"/>
          <w:sz w:val="24"/>
        </w:rPr>
        <w:t>月</w:t>
      </w:r>
      <w:bookmarkStart w:id="5" w:name="_Toc120411792"/>
      <w:bookmarkStart w:id="6" w:name="_Toc136229089"/>
      <w:r>
        <w:rPr>
          <w:rFonts w:hint="eastAsia" w:ascii="宋体" w:hAnsi="宋体" w:cs="宋体"/>
          <w:kern w:val="0"/>
          <w:sz w:val="24"/>
          <w:lang w:val="en-US" w:eastAsia="zh-CN"/>
        </w:rPr>
        <w:t xml:space="preserve"> 22 </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cs="宋体"/>
                <w:sz w:val="24"/>
                <w:szCs w:val="32"/>
                <w:lang w:val="en-US" w:eastAsia="zh-CN"/>
              </w:rPr>
              <w:t>黄石市中心医院2、3、6号楼冷冻水管网部分楼层管路主阀门更换项目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ascii="宋体" w:hAnsi="宋体"/>
                <w:szCs w:val="21"/>
              </w:rPr>
            </w:pPr>
            <w:r>
              <w:rPr>
                <w:rFonts w:hint="eastAsia" w:ascii="宋体" w:hAnsi="宋体"/>
                <w:sz w:val="24"/>
                <w:lang w:val="en-US" w:eastAsia="zh-CN"/>
              </w:rPr>
              <w:t>涡轮蝶阀及配件更换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3748"/>
      <w:bookmarkStart w:id="10" w:name="_Toc535832519"/>
      <w:bookmarkStart w:id="11" w:name="_Toc12041179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120411799"/>
      <w:bookmarkStart w:id="13" w:name="_Toc16768"/>
      <w:bookmarkStart w:id="14" w:name="_Toc535832520"/>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120411801"/>
      <w:bookmarkStart w:id="17" w:name="_Toc535832522"/>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120411802"/>
      <w:bookmarkStart w:id="20" w:name="_Toc535832523"/>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0505"/>
      <w:bookmarkStart w:id="23" w:name="_Toc535832524"/>
      <w:bookmarkStart w:id="24" w:name="_Toc120411803"/>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535832525"/>
      <w:bookmarkStart w:id="26" w:name="_Toc120411804"/>
      <w:bookmarkStart w:id="27" w:name="_Toc24505"/>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19459"/>
      <w:bookmarkStart w:id="29" w:name="_Toc535832527"/>
      <w:bookmarkStart w:id="30" w:name="_Toc120411806"/>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535832532"/>
      <w:bookmarkStart w:id="32" w:name="_Toc19911"/>
      <w:bookmarkStart w:id="33" w:name="_Toc120411811"/>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109616875"/>
      <w:bookmarkStart w:id="35" w:name="_Toc47348161"/>
      <w:bookmarkStart w:id="36" w:name="_Toc121195753"/>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120411814"/>
      <w:bookmarkStart w:id="41" w:name="_Toc535832536"/>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535832541"/>
      <w:bookmarkStart w:id="45" w:name="_Toc120411819"/>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120411816"/>
      <w:bookmarkStart w:id="49" w:name="_Toc535832538"/>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120411834"/>
      <w:bookmarkStart w:id="56" w:name="_Toc535891855"/>
      <w:bookmarkStart w:id="57" w:name="_Toc535891688"/>
      <w:bookmarkStart w:id="58" w:name="_Toc535814466"/>
      <w:bookmarkStart w:id="59" w:name="_Toc535832555"/>
      <w:bookmarkStart w:id="60" w:name="_Toc535815711"/>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cs="宋体"/>
          <w:sz w:val="24"/>
          <w:szCs w:val="32"/>
          <w:lang w:val="en-US" w:eastAsia="zh-CN"/>
        </w:rPr>
        <w:t>黄石市中心医院2、3、6号楼冷冻水管网部分楼层管路主阀门更换项目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18000.00元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34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804"/>
        <w:gridCol w:w="1896"/>
        <w:gridCol w:w="547"/>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序号</w:t>
            </w:r>
          </w:p>
        </w:tc>
        <w:tc>
          <w:tcPr>
            <w:tcW w:w="219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项目名称</w:t>
            </w:r>
          </w:p>
        </w:tc>
        <w:tc>
          <w:tcPr>
            <w:tcW w:w="148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型号</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单位</w:t>
            </w:r>
          </w:p>
        </w:tc>
        <w:tc>
          <w:tcPr>
            <w:tcW w:w="491"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0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1</w:t>
            </w:r>
          </w:p>
        </w:tc>
        <w:tc>
          <w:tcPr>
            <w:tcW w:w="219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涡轮蝶阀</w:t>
            </w:r>
          </w:p>
        </w:tc>
        <w:tc>
          <w:tcPr>
            <w:tcW w:w="1483"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lang w:val="en-US" w:eastAsia="zh-CN"/>
              </w:rPr>
              <w:t>D371X-16Q-DN80</w:t>
            </w:r>
          </w:p>
        </w:tc>
        <w:tc>
          <w:tcPr>
            <w:tcW w:w="428"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台</w:t>
            </w:r>
          </w:p>
        </w:tc>
        <w:tc>
          <w:tcPr>
            <w:tcW w:w="491"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0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19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涡轮蝶阀</w:t>
            </w:r>
          </w:p>
        </w:tc>
        <w:tc>
          <w:tcPr>
            <w:tcW w:w="1483"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D371X-16Q-DN65</w:t>
            </w:r>
          </w:p>
        </w:tc>
        <w:tc>
          <w:tcPr>
            <w:tcW w:w="428"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台</w:t>
            </w:r>
          </w:p>
        </w:tc>
        <w:tc>
          <w:tcPr>
            <w:tcW w:w="491"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03"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2193" w:type="pct"/>
            <w:vAlign w:val="center"/>
          </w:tcPr>
          <w:p>
            <w:pPr>
              <w:adjustRightInd w:val="0"/>
              <w:snapToGrid w:val="0"/>
              <w:spacing w:line="300" w:lineRule="exact"/>
              <w:ind w:firstLine="210" w:firstLineChars="100"/>
              <w:jc w:val="center"/>
              <w:rPr>
                <w:rFonts w:ascii="宋体" w:hAnsi="宋体" w:cs="宋体"/>
                <w:szCs w:val="21"/>
              </w:rPr>
            </w:pPr>
            <w:r>
              <w:rPr>
                <w:rFonts w:hint="eastAsia" w:ascii="宋体" w:hAnsi="宋体" w:cs="宋体"/>
                <w:szCs w:val="21"/>
              </w:rPr>
              <w:t>安装调试费</w:t>
            </w:r>
          </w:p>
        </w:tc>
        <w:tc>
          <w:tcPr>
            <w:tcW w:w="1483" w:type="pct"/>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428" w:type="pct"/>
            <w:vAlign w:val="center"/>
          </w:tcPr>
          <w:p>
            <w:pPr>
              <w:adjustRightInd w:val="0"/>
              <w:snapToGrid w:val="0"/>
              <w:spacing w:line="300" w:lineRule="exact"/>
              <w:jc w:val="center"/>
              <w:rPr>
                <w:rFonts w:ascii="宋体" w:hAnsi="宋体" w:cs="宋体"/>
                <w:szCs w:val="21"/>
              </w:rPr>
            </w:pPr>
            <w:r>
              <w:rPr>
                <w:rFonts w:hint="eastAsia" w:ascii="宋体" w:hAnsi="宋体" w:cs="宋体"/>
                <w:szCs w:val="21"/>
              </w:rPr>
              <w:t>次</w:t>
            </w:r>
          </w:p>
        </w:tc>
        <w:tc>
          <w:tcPr>
            <w:tcW w:w="491" w:type="pct"/>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cs="宋体"/>
                <w:szCs w:val="21"/>
                <w:lang w:val="en-US" w:eastAsia="zh-CN"/>
              </w:rPr>
              <w:t>1</w:t>
            </w:r>
          </w:p>
        </w:tc>
      </w:tr>
    </w:tbl>
    <w:p>
      <w:pPr>
        <w:spacing w:line="500" w:lineRule="exact"/>
        <w:ind w:firstLine="480" w:firstLineChars="200"/>
        <w:rPr>
          <w:rFonts w:hint="eastAsia" w:ascii="宋体" w:hAnsi="宋体"/>
          <w:sz w:val="24"/>
          <w:lang w:val="en-US" w:eastAsia="zh-CN"/>
        </w:rPr>
      </w:pP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涡轮蝶阀及配件更换</w:t>
      </w:r>
    </w:p>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hNzg0OTFhZWI5ZWY0ZjViN2VmZDBkY2QxMjE0ZDUifQ=="/>
    <w:docVar w:name="KSO_WPS_MARK_KEY" w:val="28a57099-b86f-4090-bc98-f050d540d82d"/>
  </w:docVars>
  <w:rsids>
    <w:rsidRoot w:val="00E84365"/>
    <w:rsid w:val="002C6D24"/>
    <w:rsid w:val="00400454"/>
    <w:rsid w:val="00500B22"/>
    <w:rsid w:val="00E84365"/>
    <w:rsid w:val="00EF2BFE"/>
    <w:rsid w:val="01050F22"/>
    <w:rsid w:val="032633D2"/>
    <w:rsid w:val="05D644FD"/>
    <w:rsid w:val="0707343C"/>
    <w:rsid w:val="0C0B585A"/>
    <w:rsid w:val="1A732F49"/>
    <w:rsid w:val="1D187DD7"/>
    <w:rsid w:val="24480FA2"/>
    <w:rsid w:val="27BA3B10"/>
    <w:rsid w:val="28602C68"/>
    <w:rsid w:val="2A7403E1"/>
    <w:rsid w:val="2EFD17FD"/>
    <w:rsid w:val="300A1801"/>
    <w:rsid w:val="31EC41F6"/>
    <w:rsid w:val="37317C9C"/>
    <w:rsid w:val="382009A0"/>
    <w:rsid w:val="39260DA8"/>
    <w:rsid w:val="3AF45588"/>
    <w:rsid w:val="3D932E36"/>
    <w:rsid w:val="44F773F3"/>
    <w:rsid w:val="45BD7061"/>
    <w:rsid w:val="47256022"/>
    <w:rsid w:val="47482EE3"/>
    <w:rsid w:val="474B29D4"/>
    <w:rsid w:val="477737C9"/>
    <w:rsid w:val="48594125"/>
    <w:rsid w:val="48FD1AAC"/>
    <w:rsid w:val="4DB017E2"/>
    <w:rsid w:val="50E81293"/>
    <w:rsid w:val="53DD69B8"/>
    <w:rsid w:val="575939B1"/>
    <w:rsid w:val="5B70435F"/>
    <w:rsid w:val="631756EA"/>
    <w:rsid w:val="63DA2CBD"/>
    <w:rsid w:val="72B82E0E"/>
    <w:rsid w:val="74C71C6E"/>
    <w:rsid w:val="79CF2008"/>
    <w:rsid w:val="79D1456C"/>
    <w:rsid w:val="7A6678BB"/>
    <w:rsid w:val="7D7D673C"/>
    <w:rsid w:val="7E476EF2"/>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qFormat/>
    <w:uiPriority w:val="0"/>
    <w:pPr>
      <w:keepNext/>
      <w:keepLines/>
      <w:spacing w:before="240" w:after="64" w:line="320" w:lineRule="auto"/>
      <w:outlineLvl w:val="6"/>
    </w:pPr>
    <w:rPr>
      <w:b/>
      <w:bCs/>
      <w:sz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szCs w:val="21"/>
    </w:rPr>
  </w:style>
  <w:style w:type="paragraph" w:styleId="12">
    <w:name w:val="Normal Indent"/>
    <w:basedOn w:val="1"/>
    <w:qFormat/>
    <w:uiPriority w:val="0"/>
    <w:pPr>
      <w:spacing w:line="360" w:lineRule="auto"/>
      <w:ind w:left="420" w:firstLine="420"/>
    </w:pPr>
    <w:rPr>
      <w:szCs w:val="20"/>
    </w:rPr>
  </w:style>
  <w:style w:type="paragraph" w:styleId="13">
    <w:name w:val="Document Map"/>
    <w:basedOn w:val="1"/>
    <w:link w:val="61"/>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qFormat/>
    <w:uiPriority w:val="0"/>
    <w:rPr>
      <w:rFonts w:asciiTheme="minorHAnsi" w:hAnsiTheme="minorHAnsi" w:eastAsiaTheme="minorEastAsia" w:cstheme="minorBidi"/>
      <w:sz w:val="24"/>
    </w:rPr>
  </w:style>
  <w:style w:type="paragraph" w:styleId="17">
    <w:name w:val="Body Text Indent"/>
    <w:basedOn w:val="1"/>
    <w:link w:val="116"/>
    <w:qFormat/>
    <w:uiPriority w:val="0"/>
    <w:pPr>
      <w:ind w:left="853" w:leftChars="406" w:firstLine="490" w:firstLineChars="204"/>
    </w:pPr>
    <w:rPr>
      <w:rFonts w:ascii="宋体" w:hAnsi="宋体"/>
      <w:sz w:val="24"/>
    </w:rPr>
  </w:style>
  <w:style w:type="paragraph" w:styleId="18">
    <w:name w:val="toc 5"/>
    <w:basedOn w:val="1"/>
    <w:next w:val="1"/>
    <w:qFormat/>
    <w:uiPriority w:val="39"/>
    <w:pPr>
      <w:ind w:left="840"/>
      <w:jc w:val="left"/>
    </w:pPr>
    <w:rPr>
      <w:szCs w:val="21"/>
    </w:rPr>
  </w:style>
  <w:style w:type="paragraph" w:styleId="19">
    <w:name w:val="toc 3"/>
    <w:basedOn w:val="1"/>
    <w:next w:val="1"/>
    <w:qFormat/>
    <w:uiPriority w:val="39"/>
    <w:pPr>
      <w:tabs>
        <w:tab w:val="left" w:pos="840"/>
        <w:tab w:val="right" w:leader="dot" w:pos="9062"/>
      </w:tabs>
      <w:ind w:left="420"/>
      <w:jc w:val="left"/>
    </w:pPr>
    <w:rPr>
      <w:rFonts w:hAnsi="宋体" w:cs="Arial"/>
      <w:sz w:val="24"/>
    </w:rPr>
  </w:style>
  <w:style w:type="paragraph" w:styleId="20">
    <w:name w:val="Plain Text"/>
    <w:basedOn w:val="1"/>
    <w:link w:val="84"/>
    <w:qFormat/>
    <w:uiPriority w:val="0"/>
    <w:rPr>
      <w:rFonts w:ascii="宋体" w:hAnsi="Courier New"/>
      <w:kern w:val="10"/>
      <w:szCs w:val="21"/>
    </w:rPr>
  </w:style>
  <w:style w:type="paragraph" w:styleId="21">
    <w:name w:val="toc 8"/>
    <w:basedOn w:val="1"/>
    <w:next w:val="1"/>
    <w:qFormat/>
    <w:uiPriority w:val="39"/>
    <w:pPr>
      <w:ind w:left="1470"/>
      <w:jc w:val="left"/>
    </w:pPr>
    <w:rPr>
      <w:szCs w:val="21"/>
    </w:rPr>
  </w:style>
  <w:style w:type="paragraph" w:styleId="22">
    <w:name w:val="Date"/>
    <w:basedOn w:val="1"/>
    <w:next w:val="1"/>
    <w:link w:val="71"/>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autoRedefine/>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autoRedefine/>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autoRedefine/>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autoRedefine/>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autoRedefine/>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autoRedefine/>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autoRedefine/>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autoRedefine/>
    <w:qFormat/>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autoRedefine/>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autoRedefine/>
    <w:qFormat/>
    <w:uiPriority w:val="1"/>
    <w:pPr>
      <w:ind w:left="149"/>
      <w:jc w:val="left"/>
      <w:outlineLvl w:val="4"/>
    </w:pPr>
    <w:rPr>
      <w:rFonts w:ascii="宋体" w:hAnsi="宋体"/>
      <w:kern w:val="0"/>
      <w:sz w:val="24"/>
      <w:lang w:eastAsia="en-US"/>
    </w:rPr>
  </w:style>
  <w:style w:type="paragraph" w:customStyle="1" w:styleId="81">
    <w:name w:val="xiao b"/>
    <w:basedOn w:val="1"/>
    <w:autoRedefine/>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autoRedefine/>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autoRedefine/>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6251</Words>
  <Characters>6504</Characters>
  <Lines>69</Lines>
  <Paragraphs>19</Paragraphs>
  <TotalTime>15</TotalTime>
  <ScaleCrop>false</ScaleCrop>
  <LinksUpToDate>false</LinksUpToDate>
  <CharactersWithSpaces>7165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潘小宇</cp:lastModifiedBy>
  <cp:lastPrinted>2024-01-22T08:37:00Z</cp:lastPrinted>
  <dcterms:modified xsi:type="dcterms:W3CDTF">2024-04-22T03:03:40Z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172DAC7E4ADF4FDA8E84E37D360CC4FB_13</vt:lpwstr>
  </property>
</Properties>
</file>